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乌鲁木齐职业大学水泵、电机</w:t>
      </w:r>
    </w:p>
    <w:p>
      <w:pPr>
        <w:jc w:val="center"/>
        <w:rPr>
          <w:rFonts w:hint="eastAsia"/>
          <w:b/>
          <w:bCs/>
          <w:sz w:val="44"/>
          <w:szCs w:val="44"/>
          <w:lang w:val="en-US" w:eastAsia="zh-CN"/>
        </w:rPr>
      </w:pPr>
      <w:r>
        <w:rPr>
          <w:rFonts w:hint="eastAsia"/>
          <w:b/>
          <w:bCs/>
          <w:sz w:val="44"/>
          <w:szCs w:val="44"/>
          <w:lang w:val="en-US" w:eastAsia="zh-CN"/>
        </w:rPr>
        <w:t>维保标准及要求</w:t>
      </w:r>
    </w:p>
    <w:p>
      <w:pPr>
        <w:jc w:val="center"/>
        <w:rPr>
          <w:rFonts w:hint="eastAsia"/>
          <w:b/>
          <w:bCs/>
          <w:sz w:val="44"/>
          <w:szCs w:val="44"/>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服务地址</w:t>
      </w:r>
    </w:p>
    <w:p>
      <w:pPr>
        <w:pStyle w:val="5"/>
        <w:numPr>
          <w:ilvl w:val="0"/>
          <w:numId w:val="2"/>
        </w:numPr>
        <w:ind w:leftChars="0" w:firstLine="640" w:firstLineChars="200"/>
        <w:rPr>
          <w:rFonts w:hint="eastAsia" w:asciiTheme="minorEastAsia" w:hAnsiTheme="minorEastAsia"/>
          <w:sz w:val="32"/>
          <w:szCs w:val="32"/>
        </w:rPr>
      </w:pPr>
      <w:r>
        <w:rPr>
          <w:rFonts w:hint="eastAsia" w:asciiTheme="minorEastAsia" w:hAnsiTheme="minorEastAsia"/>
          <w:sz w:val="32"/>
          <w:szCs w:val="32"/>
        </w:rPr>
        <w:t>经济开发区苏州路西延祥云中街566号</w:t>
      </w:r>
    </w:p>
    <w:p>
      <w:pPr>
        <w:pStyle w:val="5"/>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天山区幸福路281号（西校区）</w:t>
      </w:r>
    </w:p>
    <w:p>
      <w:pPr>
        <w:pStyle w:val="5"/>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青年路369号（青年路校区 ）</w:t>
      </w:r>
    </w:p>
    <w:p>
      <w:pPr>
        <w:pStyle w:val="5"/>
        <w:numPr>
          <w:ilvl w:val="0"/>
          <w:numId w:val="0"/>
        </w:numPr>
        <w:ind w:leftChars="0" w:firstLine="640" w:firstLineChars="200"/>
        <w:rPr>
          <w:rFonts w:asciiTheme="minorEastAsia" w:hAnsiTheme="minorEastAsia"/>
          <w:sz w:val="32"/>
          <w:szCs w:val="32"/>
        </w:rPr>
      </w:pPr>
      <w:r>
        <w:rPr>
          <w:rFonts w:hint="eastAsia" w:asciiTheme="minorEastAsia" w:hAnsiTheme="minorEastAsia"/>
          <w:sz w:val="32"/>
          <w:szCs w:val="32"/>
          <w:lang w:val="en-US" w:eastAsia="zh-CN"/>
        </w:rPr>
        <w:t>4、</w:t>
      </w:r>
      <w:r>
        <w:rPr>
          <w:rFonts w:hint="eastAsia" w:asciiTheme="minorEastAsia" w:hAnsiTheme="minorEastAsia"/>
          <w:sz w:val="32"/>
          <w:szCs w:val="32"/>
        </w:rPr>
        <w:t>幸福路723号（校本部）</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二、</w:t>
      </w:r>
      <w:r>
        <w:rPr>
          <w:rFonts w:hint="eastAsia" w:asciiTheme="minorEastAsia" w:hAnsiTheme="minorEastAsia"/>
          <w:b/>
          <w:bCs/>
          <w:sz w:val="32"/>
          <w:szCs w:val="32"/>
        </w:rPr>
        <w:t>合同期限：</w:t>
      </w:r>
      <w:r>
        <w:rPr>
          <w:rFonts w:hint="eastAsia" w:asciiTheme="minorEastAsia" w:hAnsiTheme="minorEastAsia" w:eastAsiaTheme="minorEastAsia" w:cstheme="minorBidi"/>
          <w:kern w:val="2"/>
          <w:sz w:val="32"/>
          <w:szCs w:val="32"/>
          <w:lang w:val="en-US" w:eastAsia="zh-CN" w:bidi="ar-SA"/>
        </w:rPr>
        <w:t>三年</w:t>
      </w:r>
      <w:r>
        <w:rPr>
          <w:rFonts w:hint="eastAsia" w:asciiTheme="minorEastAsia" w:hAnsiTheme="minorEastAsia" w:cstheme="minorBidi"/>
          <w:kern w:val="2"/>
          <w:sz w:val="32"/>
          <w:szCs w:val="32"/>
          <w:lang w:val="en-US" w:eastAsia="zh-CN" w:bidi="ar-SA"/>
        </w:rPr>
        <w:t>（一年一签）</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三、价格：</w:t>
      </w:r>
    </w:p>
    <w:p>
      <w:pPr>
        <w:numPr>
          <w:ilvl w:val="0"/>
          <w:numId w:val="0"/>
        </w:numPr>
        <w:ind w:firstLine="600" w:firstLineChars="200"/>
        <w:jc w:val="both"/>
        <w:rPr>
          <w:rFonts w:hint="eastAsia" w:asciiTheme="minorEastAsia" w:hAnsiTheme="minorEastAsia"/>
          <w:sz w:val="32"/>
          <w:szCs w:val="32"/>
          <w:lang w:val="en-US" w:eastAsia="zh-CN"/>
        </w:rPr>
      </w:pPr>
      <w:r>
        <w:rPr>
          <w:rFonts w:hint="eastAsia" w:ascii="宋体" w:hAnsi="宋体" w:eastAsia="宋体" w:cs="宋体"/>
          <w:b w:val="0"/>
          <w:bCs w:val="0"/>
          <w:sz w:val="30"/>
          <w:szCs w:val="30"/>
          <w:vertAlign w:val="baseline"/>
          <w:lang w:val="en-US" w:eastAsia="zh-CN"/>
        </w:rPr>
        <w:t>项目预算总金额为10万元。</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1、水泵、电机维保费用为5万元，报价含我校四个校区54台水泵。（水泵统计及报价见附件2）</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2、大于500元水泵、电机材料使用维修</w:t>
      </w:r>
      <w:bookmarkStart w:id="0" w:name="_GoBack"/>
      <w:bookmarkEnd w:id="0"/>
      <w:r>
        <w:rPr>
          <w:rFonts w:hint="eastAsia" w:asciiTheme="minorEastAsia" w:hAnsiTheme="minorEastAsia"/>
          <w:sz w:val="32"/>
          <w:szCs w:val="32"/>
          <w:lang w:val="en-US" w:eastAsia="zh-CN"/>
        </w:rPr>
        <w:t>费暂定5万元，此项费用根据水泵、电机实际使用材料情况，据实计算。（报价单见附件1）</w:t>
      </w:r>
    </w:p>
    <w:p>
      <w:pPr>
        <w:rPr>
          <w:rFonts w:hint="eastAsia" w:asciiTheme="minorEastAsia" w:hAnsiTheme="minorEastAsia"/>
          <w:b/>
          <w:bCs/>
          <w:sz w:val="32"/>
          <w:szCs w:val="32"/>
          <w:lang w:val="en-US" w:eastAsia="zh-CN"/>
        </w:rPr>
      </w:pPr>
      <w:r>
        <w:rPr>
          <w:rFonts w:hint="eastAsia" w:asciiTheme="minorEastAsia" w:hAnsiTheme="minorEastAsia"/>
          <w:b/>
          <w:bCs/>
          <w:sz w:val="32"/>
          <w:szCs w:val="32"/>
          <w:lang w:eastAsia="zh-CN"/>
        </w:rPr>
        <w:t>四、付款方式</w:t>
      </w:r>
      <w:r>
        <w:rPr>
          <w:rFonts w:hint="eastAsia" w:asciiTheme="minorEastAsia" w:hAnsiTheme="minorEastAsia"/>
          <w:b/>
          <w:bCs/>
          <w:sz w:val="32"/>
          <w:szCs w:val="32"/>
          <w:lang w:val="en-US" w:eastAsia="zh-CN"/>
        </w:rPr>
        <w:t xml:space="preserve"> </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经甲方对水泵维保项目验收合格后，乙方开具正规发票，甲方在收到发票后</w:t>
      </w:r>
      <w:r>
        <w:rPr>
          <w:rFonts w:hint="eastAsia" w:asciiTheme="minorEastAsia" w:hAnsiTheme="minorEastAsia"/>
          <w:sz w:val="32"/>
          <w:szCs w:val="32"/>
          <w:lang w:val="en-US" w:eastAsia="zh-CN"/>
        </w:rPr>
        <w:t>15个工作日内，根据双方在本合同中确定的价格，按学校规定予以据实结算。</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2、支付时间：</w:t>
      </w:r>
      <w:r>
        <w:rPr>
          <w:rFonts w:hint="eastAsia" w:asciiTheme="minorEastAsia" w:hAnsiTheme="minorEastAsia"/>
          <w:sz w:val="32"/>
          <w:szCs w:val="32"/>
          <w:lang w:eastAsia="zh-CN"/>
        </w:rPr>
        <w:t>一年支付两次、每半年支付一次。</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val="en-US" w:eastAsia="zh-CN"/>
        </w:rPr>
        <w:t>五</w:t>
      </w:r>
      <w:r>
        <w:rPr>
          <w:rFonts w:hint="eastAsia" w:asciiTheme="minorEastAsia" w:hAnsiTheme="minorEastAsia"/>
          <w:b/>
          <w:bCs/>
          <w:sz w:val="32"/>
          <w:szCs w:val="32"/>
          <w:lang w:eastAsia="zh-CN"/>
        </w:rPr>
        <w:t>、</w:t>
      </w:r>
      <w:r>
        <w:rPr>
          <w:rFonts w:hint="eastAsia" w:asciiTheme="minorEastAsia" w:hAnsiTheme="minorEastAsia"/>
          <w:b/>
          <w:bCs/>
          <w:sz w:val="32"/>
          <w:szCs w:val="32"/>
        </w:rPr>
        <w:t>投标公司资质要求</w:t>
      </w:r>
    </w:p>
    <w:p>
      <w:pPr>
        <w:numPr>
          <w:ilvl w:val="0"/>
          <w:numId w:val="0"/>
        </w:numPr>
        <w:ind w:leftChars="0"/>
        <w:rPr>
          <w:rFonts w:hint="eastAsia" w:asciiTheme="minorEastAsia" w:hAnsiTheme="minorEastAsia" w:eastAsiaTheme="minorEastAsia"/>
          <w:b/>
          <w:bCs/>
          <w:sz w:val="32"/>
          <w:szCs w:val="32"/>
          <w:lang w:val="en-US" w:eastAsia="zh-CN"/>
        </w:rPr>
      </w:pPr>
      <w:r>
        <w:rPr>
          <w:rFonts w:hint="eastAsia" w:asciiTheme="minorEastAsia" w:hAnsiTheme="minorEastAsia"/>
          <w:b/>
          <w:bCs/>
          <w:sz w:val="32"/>
          <w:szCs w:val="32"/>
          <w:lang w:val="en-US" w:eastAsia="zh-CN"/>
        </w:rPr>
        <w:t xml:space="preserve">    </w:t>
      </w:r>
      <w:r>
        <w:rPr>
          <w:rFonts w:hint="eastAsia" w:asciiTheme="minorEastAsia" w:hAnsiTheme="minorEastAsia"/>
          <w:sz w:val="32"/>
          <w:szCs w:val="32"/>
          <w:lang w:val="en-US" w:eastAsia="zh-CN"/>
        </w:rPr>
        <w:t>1、</w:t>
      </w:r>
      <w:r>
        <w:rPr>
          <w:rFonts w:hint="eastAsia" w:asciiTheme="minorEastAsia" w:hAnsiTheme="minorEastAsia"/>
          <w:sz w:val="32"/>
          <w:szCs w:val="32"/>
        </w:rPr>
        <w:t>投标人应是在中华人民共和国境内依法经工商行政管理机关核准登记后取得独立法人资格的企业</w:t>
      </w:r>
      <w:r>
        <w:rPr>
          <w:rFonts w:hint="eastAsia" w:asciiTheme="minorEastAsia" w:hAnsiTheme="minorEastAsia"/>
          <w:sz w:val="32"/>
          <w:szCs w:val="32"/>
          <w:lang w:eastAsia="zh-CN"/>
        </w:rPr>
        <w:t>或个体工商户。</w:t>
      </w:r>
    </w:p>
    <w:p>
      <w:pPr>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w:t>
      </w:r>
      <w:r>
        <w:rPr>
          <w:rFonts w:hint="eastAsia" w:asciiTheme="minorEastAsia" w:hAnsiTheme="minorEastAsia"/>
          <w:sz w:val="32"/>
          <w:szCs w:val="32"/>
        </w:rPr>
        <w:t>投标公司具备独立完成本项目的能力，中标后不允许分包、转包</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3、具备国家有关规定的水泵维护保养资质。</w:t>
      </w:r>
    </w:p>
    <w:p>
      <w:pPr>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4、参加招标采购活动前三年内，在经营活动中没有重大违法记录。</w:t>
      </w:r>
    </w:p>
    <w:p>
      <w:pPr>
        <w:numPr>
          <w:ilvl w:val="0"/>
          <w:numId w:val="0"/>
        </w:numPr>
        <w:rPr>
          <w:rFonts w:hint="eastAsia" w:asciiTheme="minorEastAsia" w:hAnsiTheme="minorEastAsia"/>
          <w:b/>
          <w:bCs/>
          <w:sz w:val="32"/>
          <w:szCs w:val="32"/>
          <w:lang w:eastAsia="zh-CN"/>
        </w:rPr>
      </w:pPr>
      <w:r>
        <w:rPr>
          <w:rFonts w:hint="eastAsia" w:asciiTheme="minorEastAsia" w:hAnsiTheme="minorEastAsia"/>
          <w:b/>
          <w:bCs/>
          <w:sz w:val="32"/>
          <w:szCs w:val="32"/>
          <w:lang w:val="en-US" w:eastAsia="zh-CN"/>
        </w:rPr>
        <w:t>六、</w:t>
      </w:r>
      <w:r>
        <w:rPr>
          <w:rFonts w:hint="eastAsia" w:asciiTheme="minorEastAsia" w:hAnsiTheme="minorEastAsia"/>
          <w:b/>
          <w:bCs/>
          <w:sz w:val="32"/>
          <w:szCs w:val="32"/>
          <w:lang w:eastAsia="zh-CN"/>
        </w:rPr>
        <w:t>服务要求及责任</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1、乙方保证派出的施工人员必须是水泵设备维保专业技工，有丰富的水泵设备维修保养实践经验，责任心强，对学校负责，能够切实按国家相关水泵维护保养规范进行。</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2、对各种水泵提供一次全面的例行保养工作，其中包括对设备机件的安全及功能清洁、调整、检查及润滑油，设置、调整操作等使设备正常运行，达到原制造厂家的产品企业标准或现行有效标准。</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3、乙方提供零部件应为设备原制造厂出品的原厂合格配件。乙方经努力仍无法采购到原厂配件的，经校方同意，维保方可以采购其他品牌的同型号配件，应保证配件质量、性能等技术参数不低于原厂配件。</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4、所有检修维护设备各固定连接部位不应松动，各部件运行正常，不得有异常声响和摩擦现象，附属系统的运行正常，管道连接处应牢固无渗漏，轴承的温度应符合设备技术相关规定，润滑油不得有渗漏和雾状喷油现象。泵的安全保护和电控装置及各部分仪表显示均应灵敏、正确、可靠，机械密封的泄漏应符合设备原厂的技术规定，且温升正常。</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5、由乙方提供的轴承在正常运行的情况下寿命不得低于6000小时，提供的机械密封在正常运行的情况下寿命不得低于4000小时。（注：特殊设备及特殊情况除外）</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6、每台水泵每年维修保养、加油至少两次。</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7、每个控制柜至少检修两次。</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8、维修材料单价500元（包括500元）以下由乙方购买，500元以上由甲方承担。乙方使用材料必须要有产品质量合格证。</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9、乙方维修期间不能耽误甲方水泵的正常使用。</w:t>
      </w: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附件</w:t>
      </w:r>
      <w:r>
        <w:rPr>
          <w:rFonts w:hint="eastAsia" w:ascii="宋体" w:hAnsi="宋体" w:eastAsia="宋体" w:cs="宋体"/>
          <w:b w:val="0"/>
          <w:bCs/>
          <w:sz w:val="28"/>
          <w:szCs w:val="28"/>
          <w:lang w:val="en-US" w:eastAsia="zh-CN"/>
        </w:rPr>
        <w:t>1</w:t>
      </w:r>
    </w:p>
    <w:p>
      <w:pPr>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水泵、电机维修大于500元明细报价单</w:t>
      </w:r>
    </w:p>
    <w:tbl>
      <w:tblPr>
        <w:tblStyle w:val="3"/>
        <w:tblW w:w="10020"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5"/>
        <w:gridCol w:w="1125"/>
        <w:gridCol w:w="94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25" w:type="dxa"/>
            <w:vAlign w:val="top"/>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名称</w:t>
            </w:r>
          </w:p>
        </w:tc>
        <w:tc>
          <w:tcPr>
            <w:tcW w:w="1125" w:type="dxa"/>
            <w:vAlign w:val="top"/>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单位</w:t>
            </w:r>
          </w:p>
        </w:tc>
        <w:tc>
          <w:tcPr>
            <w:tcW w:w="945" w:type="dxa"/>
            <w:vAlign w:val="top"/>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数量</w:t>
            </w:r>
          </w:p>
        </w:tc>
        <w:tc>
          <w:tcPr>
            <w:tcW w:w="1725" w:type="dxa"/>
            <w:vAlign w:val="top"/>
          </w:tcPr>
          <w:p>
            <w:pPr>
              <w:spacing w:line="360" w:lineRule="auto"/>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单价（</w:t>
            </w:r>
            <w:r>
              <w:rPr>
                <w:rFonts w:hint="eastAsia" w:ascii="宋体" w:hAnsi="宋体" w:eastAsia="宋体" w:cs="宋体"/>
                <w:b/>
                <w:bCs/>
                <w:sz w:val="24"/>
                <w:szCs w:val="24"/>
                <w:vertAlign w:val="baseline"/>
                <w:lang w:val="en-US" w:eastAsia="zh-CN"/>
              </w:rPr>
              <w:t>元</w:t>
            </w:r>
            <w:r>
              <w:rPr>
                <w:rFonts w:hint="eastAsia" w:ascii="宋体" w:hAnsi="宋体" w:eastAsia="宋体" w:cs="宋体"/>
                <w:b/>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7号交流中心15KW多级泵大修</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7号交流中心15KW多级泵更换（含安装及水泵前后阀门）</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7号交流中心更换7.5-20-70多级泵（含安装及前后阀门）</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7号交流中心变频控制柜（新）国产（7.5KW）</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套</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8号宿舍楼7.5KW多级泵大修</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4号教学楼添加7.5KW多级泵</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4号教学楼自来水泵控制柜更换变频柜（15KW国产）</w:t>
            </w:r>
          </w:p>
        </w:tc>
        <w:tc>
          <w:tcPr>
            <w:tcW w:w="1125" w:type="dxa"/>
            <w:vAlign w:val="top"/>
          </w:tcPr>
          <w:p>
            <w:pPr>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套</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5号暖气补水泵变频柜维修更换变频器（7.5KWABB）</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新校区自来水泵18.5KW更换（含安装）</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18.5KW多级泵大修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1.5KW暖气循环泵更换</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4KW-5.5KW多级泵维修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7.5KW管道泵维修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55KW管道泵维修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37KW管道泵维修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15KW管道泵维修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2.2KW及以下管道泵维修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18.5KW变频柜更换（国产）</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套</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3KW多级泵大修</w:t>
            </w:r>
          </w:p>
        </w:tc>
        <w:tc>
          <w:tcPr>
            <w:tcW w:w="112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台</w:t>
            </w:r>
          </w:p>
        </w:tc>
        <w:tc>
          <w:tcPr>
            <w:tcW w:w="945" w:type="dxa"/>
            <w:vAlign w:val="top"/>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725" w:type="dxa"/>
            <w:vAlign w:val="top"/>
          </w:tcPr>
          <w:p>
            <w:pPr>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020" w:type="dxa"/>
            <w:gridSpan w:val="4"/>
            <w:vAlign w:val="top"/>
          </w:tcPr>
          <w:p>
            <w:pPr>
              <w:spacing w:line="48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备注：报价含施工及相关服务，中标期内维修总价格不得超过五万元。</w:t>
            </w:r>
          </w:p>
        </w:tc>
      </w:tr>
    </w:tbl>
    <w:p>
      <w:pPr>
        <w:sectPr>
          <w:pgSz w:w="11906" w:h="16838"/>
          <w:pgMar w:top="1440" w:right="1800" w:bottom="1440" w:left="1800" w:header="851" w:footer="992" w:gutter="0"/>
          <w:cols w:space="425" w:num="1"/>
          <w:docGrid w:type="lines" w:linePitch="312" w:charSpace="0"/>
        </w:sectPr>
      </w:pPr>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附件</w:t>
      </w:r>
      <w:r>
        <w:rPr>
          <w:rFonts w:hint="eastAsia" w:ascii="宋体" w:hAnsi="宋体" w:eastAsia="宋体" w:cs="宋体"/>
          <w:b w:val="0"/>
          <w:bCs/>
          <w:sz w:val="28"/>
          <w:szCs w:val="28"/>
          <w:lang w:val="en-US" w:eastAsia="zh-CN"/>
        </w:rPr>
        <w:t>2</w:t>
      </w:r>
    </w:p>
    <w:p>
      <w:pPr>
        <w:jc w:val="center"/>
        <w:rPr>
          <w:rFonts w:hint="default" w:ascii="宋体" w:hAnsi="宋体" w:eastAsia="宋体" w:cs="宋体"/>
          <w:b w:val="0"/>
          <w:bCs w:val="0"/>
          <w:sz w:val="40"/>
          <w:szCs w:val="40"/>
          <w:lang w:val="en-US" w:eastAsia="zh-CN"/>
        </w:rPr>
      </w:pPr>
      <w:r>
        <w:rPr>
          <w:rFonts w:hint="eastAsia" w:ascii="宋体" w:hAnsi="宋体" w:eastAsia="宋体" w:cs="宋体"/>
          <w:b/>
          <w:sz w:val="40"/>
          <w:szCs w:val="40"/>
        </w:rPr>
        <w:t>乌鲁木齐职业大学水泵统计</w:t>
      </w:r>
      <w:r>
        <w:rPr>
          <w:rFonts w:hint="eastAsia" w:ascii="宋体" w:hAnsi="宋体" w:eastAsia="宋体" w:cs="宋体"/>
          <w:b/>
          <w:sz w:val="40"/>
          <w:szCs w:val="40"/>
          <w:lang w:val="en-US" w:eastAsia="zh-CN"/>
        </w:rPr>
        <w:t>及报价</w:t>
      </w:r>
    </w:p>
    <w:tbl>
      <w:tblPr>
        <w:tblStyle w:val="3"/>
        <w:tblW w:w="1393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20"/>
        <w:gridCol w:w="2850"/>
        <w:gridCol w:w="1230"/>
        <w:gridCol w:w="1935"/>
        <w:gridCol w:w="900"/>
        <w:gridCol w:w="226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5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22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水泵名称</w:t>
            </w:r>
          </w:p>
        </w:tc>
        <w:tc>
          <w:tcPr>
            <w:tcW w:w="285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型   号</w:t>
            </w:r>
          </w:p>
        </w:tc>
        <w:tc>
          <w:tcPr>
            <w:tcW w:w="123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扬程</w:t>
            </w:r>
          </w:p>
        </w:tc>
        <w:tc>
          <w:tcPr>
            <w:tcW w:w="1935"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流   量</w:t>
            </w:r>
          </w:p>
        </w:tc>
        <w:tc>
          <w:tcPr>
            <w:tcW w:w="900"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2265" w:type="dxa"/>
            <w:vAlign w:val="center"/>
          </w:tcPr>
          <w:p>
            <w:pPr>
              <w:ind w:firstLine="241" w:firstLineChars="100"/>
              <w:jc w:val="center"/>
              <w:rPr>
                <w:rFonts w:hint="eastAsia" w:ascii="宋体" w:hAnsi="宋体" w:eastAsia="宋体" w:cs="宋体"/>
                <w:b/>
                <w:bCs/>
                <w:sz w:val="24"/>
                <w:szCs w:val="24"/>
              </w:rPr>
            </w:pPr>
            <w:r>
              <w:rPr>
                <w:rFonts w:hint="eastAsia" w:ascii="宋体" w:hAnsi="宋体" w:eastAsia="宋体" w:cs="宋体"/>
                <w:b/>
                <w:bCs/>
                <w:sz w:val="24"/>
                <w:szCs w:val="24"/>
              </w:rPr>
              <w:t>用  途</w:t>
            </w:r>
          </w:p>
        </w:tc>
        <w:tc>
          <w:tcPr>
            <w:tcW w:w="1785" w:type="dxa"/>
            <w:vAlign w:val="center"/>
          </w:tcPr>
          <w:p>
            <w:pPr>
              <w:ind w:firstLine="241" w:firstLineChars="10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多级离心泵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100GDL72-14×4</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56米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72立方米/小时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新校二次供水加压泵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立式离心泵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SOR40-160A</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28米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5.9立方米/小时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新校蒸汽冷凝水泵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管道离心泵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IRG50-160</w:t>
            </w:r>
          </w:p>
        </w:tc>
        <w:tc>
          <w:tcPr>
            <w:tcW w:w="1230" w:type="dxa"/>
            <w:vAlign w:val="center"/>
          </w:tcPr>
          <w:p>
            <w:pPr>
              <w:spacing w:line="36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rPr>
              <w:t>32</w:t>
            </w:r>
            <w:r>
              <w:rPr>
                <w:rFonts w:hint="eastAsia" w:ascii="宋体" w:hAnsi="宋体" w:eastAsia="宋体" w:cs="宋体"/>
                <w:b w:val="0"/>
                <w:bCs/>
                <w:sz w:val="22"/>
                <w:szCs w:val="22"/>
                <w:lang w:val="en-US" w:eastAsia="zh-CN"/>
              </w:rPr>
              <w:t>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12.5立方米/小时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新校浴室洗浴循环泵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单级喷淋泵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XBD90/50-100L-51BB</w:t>
            </w:r>
          </w:p>
        </w:tc>
        <w:tc>
          <w:tcPr>
            <w:tcW w:w="1230" w:type="dxa"/>
            <w:vAlign w:val="center"/>
          </w:tcPr>
          <w:p>
            <w:pPr>
              <w:spacing w:line="360" w:lineRule="auto"/>
              <w:jc w:val="center"/>
              <w:rPr>
                <w:rFonts w:hint="eastAsia" w:ascii="宋体" w:hAnsi="宋体" w:eastAsia="宋体" w:cs="宋体"/>
                <w:b w:val="0"/>
                <w:bCs/>
                <w:sz w:val="22"/>
                <w:szCs w:val="22"/>
              </w:rPr>
            </w:pP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30立方米/小时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新校消防水泵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单级消防泵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XBD70/30-100L</w:t>
            </w:r>
          </w:p>
        </w:tc>
        <w:tc>
          <w:tcPr>
            <w:tcW w:w="1230" w:type="dxa"/>
            <w:vAlign w:val="center"/>
          </w:tcPr>
          <w:p>
            <w:pPr>
              <w:spacing w:line="360" w:lineRule="auto"/>
              <w:jc w:val="center"/>
              <w:rPr>
                <w:rFonts w:hint="eastAsia" w:ascii="宋体" w:hAnsi="宋体" w:eastAsia="宋体" w:cs="宋体"/>
                <w:b w:val="0"/>
                <w:bCs/>
                <w:sz w:val="22"/>
                <w:szCs w:val="22"/>
              </w:rPr>
            </w:pP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30立方米/小时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新校消防水泵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污水污物潜水泵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50WQ/C241-1.5</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10米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20立方米/小时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新校污水污物排水泵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锅炉给水泵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JGGC2.4-144</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144米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2.4立方米/小时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8台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新校3台锅炉给水泵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离心泵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ISG100-IS0</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30米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75立方米/小时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新校供暖循环泵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立式多级不锈钢泵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CDLF4-5</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40米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2.3立方米/小时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新校供暖系统给水泵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潜水泵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220V</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12米</w:t>
            </w: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6立方米/小时</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1台</w:t>
            </w:r>
          </w:p>
        </w:tc>
        <w:tc>
          <w:tcPr>
            <w:tcW w:w="226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新校可移动潜水泵</w:t>
            </w: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r>
              <w:rPr>
                <w:rFonts w:hint="eastAsia" w:ascii="宋体" w:hAnsi="宋体" w:eastAsia="宋体" w:cs="宋体"/>
                <w:b w:val="0"/>
                <w:bCs/>
                <w:color w:val="000000" w:themeColor="text1"/>
                <w:sz w:val="22"/>
                <w:szCs w:val="22"/>
                <w14:textFill>
                  <w14:solidFill>
                    <w14:schemeClr w14:val="tx1"/>
                  </w14:solidFill>
                </w14:textFill>
              </w:rPr>
              <w:t>管道泵</w:t>
            </w:r>
          </w:p>
        </w:tc>
        <w:tc>
          <w:tcPr>
            <w:tcW w:w="2850"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p>
        </w:tc>
        <w:tc>
          <w:tcPr>
            <w:tcW w:w="1230"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p>
        </w:tc>
        <w:tc>
          <w:tcPr>
            <w:tcW w:w="1935"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p>
        </w:tc>
        <w:tc>
          <w:tcPr>
            <w:tcW w:w="900"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r>
              <w:rPr>
                <w:rFonts w:hint="eastAsia" w:ascii="宋体" w:hAnsi="宋体" w:eastAsia="宋体" w:cs="宋体"/>
                <w:b w:val="0"/>
                <w:bCs/>
                <w:color w:val="000000" w:themeColor="text1"/>
                <w:sz w:val="22"/>
                <w:szCs w:val="22"/>
                <w14:textFill>
                  <w14:solidFill>
                    <w14:schemeClr w14:val="tx1"/>
                  </w14:solidFill>
                </w14:textFill>
              </w:rPr>
              <w:t>2台</w:t>
            </w:r>
          </w:p>
        </w:tc>
        <w:tc>
          <w:tcPr>
            <w:tcW w:w="2265"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r>
              <w:rPr>
                <w:rFonts w:hint="eastAsia" w:ascii="宋体" w:hAnsi="宋体" w:eastAsia="宋体" w:cs="宋体"/>
                <w:b w:val="0"/>
                <w:bCs/>
                <w:color w:val="000000" w:themeColor="text1"/>
                <w:sz w:val="22"/>
                <w:szCs w:val="22"/>
                <w14:textFill>
                  <w14:solidFill>
                    <w14:schemeClr w14:val="tx1"/>
                  </w14:solidFill>
                </w14:textFill>
              </w:rPr>
              <w:t>新校大门口地下室</w:t>
            </w:r>
          </w:p>
        </w:tc>
        <w:tc>
          <w:tcPr>
            <w:tcW w:w="1785" w:type="dxa"/>
            <w:vAlign w:val="center"/>
          </w:tcPr>
          <w:p>
            <w:pPr>
              <w:spacing w:line="360" w:lineRule="auto"/>
              <w:jc w:val="center"/>
              <w:rPr>
                <w:rFonts w:hint="eastAsia" w:ascii="宋体" w:hAnsi="宋体" w:eastAsia="宋体" w:cs="宋体"/>
                <w:b w:val="0"/>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1#楼二次供水水泵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Y112M-2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5#楼暖气循环泵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Y2-160M-2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5#楼暖气补水泵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YE2-132S-2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5#楼暖气循环泵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YE2-132S-2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5#楼暖气补水泵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YVF2-90L-2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2.2KW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5#楼二次供水水泵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YE2-112M-2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小高层二次供水水泵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YE2-132S1-2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4#楼二次供水水泵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YE2-132S1-2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交流二次供水水泵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Y132SI-2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8#楼二次供水水泵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Y132-4</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8#二次供水水泵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DM-132S2-2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7.5KW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1</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行政楼二次供水水泵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Y100L-2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3KW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5"/>
              <w:numPr>
                <w:ilvl w:val="0"/>
                <w:numId w:val="3"/>
              </w:numPr>
              <w:ind w:firstLineChars="0"/>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西校二次供水水泵</w:t>
            </w:r>
          </w:p>
        </w:tc>
        <w:tc>
          <w:tcPr>
            <w:tcW w:w="285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Y112M-2</w:t>
            </w:r>
          </w:p>
        </w:tc>
        <w:tc>
          <w:tcPr>
            <w:tcW w:w="123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4KW</w:t>
            </w:r>
          </w:p>
        </w:tc>
        <w:tc>
          <w:tcPr>
            <w:tcW w:w="1935" w:type="dxa"/>
            <w:vAlign w:val="center"/>
          </w:tcPr>
          <w:p>
            <w:pPr>
              <w:spacing w:line="360" w:lineRule="auto"/>
              <w:jc w:val="center"/>
              <w:rPr>
                <w:rFonts w:hint="eastAsia" w:ascii="宋体" w:hAnsi="宋体" w:eastAsia="宋体" w:cs="宋体"/>
                <w:b w:val="0"/>
                <w:bCs/>
                <w:sz w:val="22"/>
                <w:szCs w:val="22"/>
              </w:rPr>
            </w:pP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2</w:t>
            </w:r>
            <w:r>
              <w:rPr>
                <w:rFonts w:hint="eastAsia" w:ascii="宋体" w:hAnsi="宋体" w:eastAsia="宋体" w:cs="宋体"/>
                <w:b w:val="0"/>
                <w:bCs/>
                <w:color w:val="000000" w:themeColor="text1"/>
                <w:sz w:val="22"/>
                <w:szCs w:val="22"/>
                <w14:textFill>
                  <w14:solidFill>
                    <w14:schemeClr w14:val="tx1"/>
                  </w14:solidFill>
                </w14:textFill>
              </w:rPr>
              <w:t>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宋体" w:hAnsi="宋体" w:eastAsia="宋体" w:cs="宋体"/>
                <w:sz w:val="22"/>
                <w:szCs w:val="22"/>
              </w:rPr>
            </w:pPr>
          </w:p>
        </w:tc>
        <w:tc>
          <w:tcPr>
            <w:tcW w:w="2220" w:type="dxa"/>
            <w:vAlign w:val="center"/>
          </w:tcPr>
          <w:p>
            <w:pPr>
              <w:spacing w:line="360" w:lineRule="auto"/>
              <w:jc w:val="center"/>
              <w:rPr>
                <w:rFonts w:hint="eastAsia" w:ascii="宋体" w:hAnsi="宋体" w:eastAsia="宋体" w:cs="宋体"/>
                <w:b w:val="0"/>
                <w:bCs/>
                <w:sz w:val="22"/>
                <w:szCs w:val="22"/>
              </w:rPr>
            </w:pPr>
          </w:p>
        </w:tc>
        <w:tc>
          <w:tcPr>
            <w:tcW w:w="2850" w:type="dxa"/>
            <w:vAlign w:val="center"/>
          </w:tcPr>
          <w:p>
            <w:pPr>
              <w:spacing w:line="360" w:lineRule="auto"/>
              <w:jc w:val="center"/>
              <w:rPr>
                <w:rFonts w:hint="eastAsia" w:ascii="宋体" w:hAnsi="宋体" w:eastAsia="宋体" w:cs="宋体"/>
                <w:b w:val="0"/>
                <w:bCs/>
                <w:sz w:val="22"/>
                <w:szCs w:val="22"/>
              </w:rPr>
            </w:pPr>
          </w:p>
        </w:tc>
        <w:tc>
          <w:tcPr>
            <w:tcW w:w="1230" w:type="dxa"/>
            <w:vAlign w:val="center"/>
          </w:tcPr>
          <w:p>
            <w:pPr>
              <w:spacing w:line="360" w:lineRule="auto"/>
              <w:jc w:val="center"/>
              <w:rPr>
                <w:rFonts w:hint="eastAsia" w:ascii="宋体" w:hAnsi="宋体" w:eastAsia="宋体" w:cs="宋体"/>
                <w:b w:val="0"/>
                <w:bCs/>
                <w:sz w:val="22"/>
                <w:szCs w:val="22"/>
              </w:rPr>
            </w:pPr>
          </w:p>
        </w:tc>
        <w:tc>
          <w:tcPr>
            <w:tcW w:w="1935"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合计</w:t>
            </w:r>
          </w:p>
        </w:tc>
        <w:tc>
          <w:tcPr>
            <w:tcW w:w="900" w:type="dxa"/>
            <w:vAlign w:val="center"/>
          </w:tcPr>
          <w:p>
            <w:pPr>
              <w:spacing w:line="36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54台</w:t>
            </w:r>
          </w:p>
        </w:tc>
        <w:tc>
          <w:tcPr>
            <w:tcW w:w="2265" w:type="dxa"/>
            <w:vAlign w:val="center"/>
          </w:tcPr>
          <w:p>
            <w:pPr>
              <w:spacing w:line="360" w:lineRule="auto"/>
              <w:jc w:val="center"/>
              <w:rPr>
                <w:rFonts w:hint="eastAsia" w:ascii="宋体" w:hAnsi="宋体" w:eastAsia="宋体" w:cs="宋体"/>
                <w:b w:val="0"/>
                <w:bCs/>
                <w:sz w:val="22"/>
                <w:szCs w:val="22"/>
              </w:rPr>
            </w:pPr>
          </w:p>
        </w:tc>
        <w:tc>
          <w:tcPr>
            <w:tcW w:w="1785" w:type="dxa"/>
            <w:vAlign w:val="center"/>
          </w:tcPr>
          <w:p>
            <w:pPr>
              <w:spacing w:line="360" w:lineRule="auto"/>
              <w:jc w:val="center"/>
              <w:rPr>
                <w:rFonts w:hint="eastAsia" w:ascii="宋体" w:hAnsi="宋体" w:eastAsia="宋体" w:cs="宋体"/>
                <w:b w:val="0"/>
                <w:bCs/>
                <w:sz w:val="22"/>
                <w:szCs w:val="22"/>
              </w:rPr>
            </w:pPr>
          </w:p>
        </w:tc>
      </w:tr>
    </w:tbl>
    <w:p>
      <w:pPr>
        <w:numPr>
          <w:ilvl w:val="0"/>
          <w:numId w:val="0"/>
        </w:numPr>
        <w:ind w:firstLine="480" w:firstLineChars="200"/>
        <w:jc w:val="center"/>
        <w:rPr>
          <w:rFonts w:hint="eastAsia" w:ascii="宋体" w:hAnsi="宋体" w:eastAsia="宋体" w:cs="宋体"/>
          <w:b w:val="0"/>
          <w:bCs w:val="0"/>
          <w:sz w:val="24"/>
          <w:szCs w:val="24"/>
          <w:lang w:val="en-US" w:eastAsia="zh-CN"/>
        </w:rPr>
      </w:pPr>
    </w:p>
    <w:p>
      <w:pPr>
        <w:numPr>
          <w:ilvl w:val="0"/>
          <w:numId w:val="0"/>
        </w:numPr>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jc w:val="both"/>
        <w:rPr>
          <w:rFonts w:hint="eastAsia"/>
          <w:b w:val="0"/>
          <w:bCs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3E1AA"/>
    <w:multiLevelType w:val="singleLevel"/>
    <w:tmpl w:val="C583E1AA"/>
    <w:lvl w:ilvl="0" w:tentative="0">
      <w:start w:val="1"/>
      <w:numFmt w:val="decimal"/>
      <w:suff w:val="nothing"/>
      <w:lvlText w:val="%1、"/>
      <w:lvlJc w:val="left"/>
    </w:lvl>
  </w:abstractNum>
  <w:abstractNum w:abstractNumId="1">
    <w:nsid w:val="1C800DB3"/>
    <w:multiLevelType w:val="singleLevel"/>
    <w:tmpl w:val="1C800DB3"/>
    <w:lvl w:ilvl="0" w:tentative="0">
      <w:start w:val="1"/>
      <w:numFmt w:val="chineseCounting"/>
      <w:suff w:val="nothing"/>
      <w:lvlText w:val="%1、"/>
      <w:lvlJc w:val="left"/>
      <w:rPr>
        <w:rFonts w:hint="eastAsia"/>
      </w:rPr>
    </w:lvl>
  </w:abstractNum>
  <w:abstractNum w:abstractNumId="2">
    <w:nsid w:val="63A155CB"/>
    <w:multiLevelType w:val="multilevel"/>
    <w:tmpl w:val="63A155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001D"/>
    <w:rsid w:val="1EC375FC"/>
    <w:rsid w:val="267E001D"/>
    <w:rsid w:val="402338D3"/>
    <w:rsid w:val="43DF0359"/>
    <w:rsid w:val="44526B96"/>
    <w:rsid w:val="5CD305F8"/>
    <w:rsid w:val="6D894933"/>
    <w:rsid w:val="75922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2019-05-17T02:18:00Z</dcterms:created>
  <dc:creator>Administrator</dc:creator>
  <cp:lastModifiedBy>wangyazhen</cp:lastModifiedBy>
  <cp:lastPrinted>2020-05-26T08:38:57Z</cp:lastPrinted>
  <dcterms:modified xsi:type="dcterms:W3CDTF">2020-05-26T08:55:13Z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