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乌鲁木齐职业大学水泵维保标准及要求</w:t>
      </w:r>
    </w:p>
    <w:p>
      <w:pPr>
        <w:jc w:val="center"/>
        <w:rPr>
          <w:rFonts w:hint="eastAsia"/>
          <w:b/>
          <w:bCs/>
          <w:sz w:val="44"/>
          <w:szCs w:val="44"/>
          <w:lang w:val="en-US" w:eastAsia="zh-CN"/>
        </w:rPr>
      </w:pPr>
    </w:p>
    <w:p>
      <w:pPr>
        <w:numPr>
          <w:ilvl w:val="0"/>
          <w:numId w:val="1"/>
        </w:numPr>
        <w:jc w:val="both"/>
        <w:rPr>
          <w:rFonts w:hint="eastAsia"/>
          <w:b/>
          <w:bCs/>
          <w:sz w:val="32"/>
          <w:szCs w:val="32"/>
          <w:lang w:val="en-US" w:eastAsia="zh-CN"/>
        </w:rPr>
      </w:pPr>
      <w:r>
        <w:rPr>
          <w:rFonts w:hint="eastAsia"/>
          <w:b/>
          <w:bCs/>
          <w:sz w:val="32"/>
          <w:szCs w:val="32"/>
          <w:lang w:val="en-US" w:eastAsia="zh-CN"/>
        </w:rPr>
        <w:t>服务地址</w:t>
      </w:r>
    </w:p>
    <w:p>
      <w:pPr>
        <w:pStyle w:val="5"/>
        <w:numPr>
          <w:ilvl w:val="0"/>
          <w:numId w:val="2"/>
        </w:numPr>
        <w:ind w:leftChars="0" w:firstLine="640" w:firstLineChars="200"/>
        <w:rPr>
          <w:rFonts w:hint="eastAsia" w:asciiTheme="minorEastAsia" w:hAnsiTheme="minorEastAsia"/>
          <w:sz w:val="32"/>
          <w:szCs w:val="32"/>
        </w:rPr>
      </w:pPr>
      <w:r>
        <w:rPr>
          <w:rFonts w:hint="eastAsia" w:asciiTheme="minorEastAsia" w:hAnsiTheme="minorEastAsia"/>
          <w:sz w:val="32"/>
          <w:szCs w:val="32"/>
        </w:rPr>
        <w:t>经济开发区苏州路西延祥云中街566号</w:t>
      </w:r>
    </w:p>
    <w:p>
      <w:pPr>
        <w:pStyle w:val="5"/>
        <w:numPr>
          <w:ilvl w:val="0"/>
          <w:numId w:val="0"/>
        </w:numPr>
        <w:ind w:leftChars="0" w:firstLine="640" w:firstLineChars="200"/>
        <w:rPr>
          <w:rFonts w:hint="eastAsia" w:asciiTheme="minorEastAsia" w:hAnsiTheme="minorEastAsia"/>
          <w:sz w:val="32"/>
          <w:szCs w:val="32"/>
        </w:rPr>
      </w:pPr>
      <w:r>
        <w:rPr>
          <w:rFonts w:hint="eastAsia" w:asciiTheme="minorEastAsia" w:hAnsiTheme="minorEastAsia"/>
          <w:sz w:val="32"/>
          <w:szCs w:val="32"/>
          <w:lang w:val="en-US" w:eastAsia="zh-CN"/>
        </w:rPr>
        <w:t>2、</w:t>
      </w:r>
      <w:r>
        <w:rPr>
          <w:rFonts w:hint="eastAsia" w:asciiTheme="minorEastAsia" w:hAnsiTheme="minorEastAsia"/>
          <w:sz w:val="32"/>
          <w:szCs w:val="32"/>
        </w:rPr>
        <w:t>天山区幸福路281号（西校区）</w:t>
      </w:r>
    </w:p>
    <w:p>
      <w:pPr>
        <w:pStyle w:val="5"/>
        <w:numPr>
          <w:ilvl w:val="0"/>
          <w:numId w:val="0"/>
        </w:numPr>
        <w:ind w:leftChars="0" w:firstLine="640" w:firstLineChars="200"/>
        <w:rPr>
          <w:rFonts w:hint="eastAsia" w:asciiTheme="minorEastAsia" w:hAnsiTheme="minorEastAsia"/>
          <w:sz w:val="32"/>
          <w:szCs w:val="32"/>
        </w:rPr>
      </w:pPr>
      <w:r>
        <w:rPr>
          <w:rFonts w:hint="eastAsia" w:asciiTheme="minorEastAsia" w:hAnsiTheme="minorEastAsia"/>
          <w:sz w:val="32"/>
          <w:szCs w:val="32"/>
          <w:lang w:val="en-US" w:eastAsia="zh-CN"/>
        </w:rPr>
        <w:t>3、</w:t>
      </w:r>
      <w:r>
        <w:rPr>
          <w:rFonts w:hint="eastAsia" w:asciiTheme="minorEastAsia" w:hAnsiTheme="minorEastAsia"/>
          <w:sz w:val="32"/>
          <w:szCs w:val="32"/>
        </w:rPr>
        <w:t>青年路369号（青年路校区 ）</w:t>
      </w:r>
    </w:p>
    <w:p>
      <w:pPr>
        <w:pStyle w:val="5"/>
        <w:numPr>
          <w:ilvl w:val="0"/>
          <w:numId w:val="0"/>
        </w:numPr>
        <w:ind w:leftChars="0" w:firstLine="640" w:firstLineChars="200"/>
        <w:rPr>
          <w:rFonts w:asciiTheme="minorEastAsia" w:hAnsiTheme="minorEastAsia"/>
          <w:sz w:val="32"/>
          <w:szCs w:val="32"/>
        </w:rPr>
      </w:pPr>
      <w:r>
        <w:rPr>
          <w:rFonts w:hint="eastAsia" w:asciiTheme="minorEastAsia" w:hAnsiTheme="minorEastAsia"/>
          <w:sz w:val="32"/>
          <w:szCs w:val="32"/>
          <w:lang w:val="en-US" w:eastAsia="zh-CN"/>
        </w:rPr>
        <w:t>4、</w:t>
      </w:r>
      <w:r>
        <w:rPr>
          <w:rFonts w:hint="eastAsia" w:asciiTheme="minorEastAsia" w:hAnsiTheme="minorEastAsia"/>
          <w:sz w:val="32"/>
          <w:szCs w:val="32"/>
        </w:rPr>
        <w:t>幸福路723号（校本部）</w:t>
      </w:r>
    </w:p>
    <w:p>
      <w:pPr>
        <w:numPr>
          <w:ilvl w:val="0"/>
          <w:numId w:val="0"/>
        </w:numPr>
        <w:ind w:leftChars="0"/>
        <w:rPr>
          <w:rFonts w:hint="eastAsia" w:asciiTheme="minorEastAsia" w:hAnsiTheme="minorEastAsia" w:eastAsiaTheme="minorEastAsia" w:cstheme="minorBidi"/>
          <w:kern w:val="2"/>
          <w:sz w:val="32"/>
          <w:szCs w:val="32"/>
          <w:lang w:val="en-US" w:eastAsia="zh-CN" w:bidi="ar-SA"/>
        </w:rPr>
      </w:pPr>
      <w:r>
        <w:rPr>
          <w:rFonts w:hint="eastAsia" w:asciiTheme="minorEastAsia" w:hAnsiTheme="minorEastAsia"/>
          <w:b/>
          <w:bCs/>
          <w:sz w:val="32"/>
          <w:szCs w:val="32"/>
          <w:lang w:eastAsia="zh-CN"/>
        </w:rPr>
        <w:t>二、</w:t>
      </w:r>
      <w:r>
        <w:rPr>
          <w:rFonts w:hint="eastAsia" w:asciiTheme="minorEastAsia" w:hAnsiTheme="minorEastAsia"/>
          <w:b/>
          <w:bCs/>
          <w:sz w:val="32"/>
          <w:szCs w:val="32"/>
        </w:rPr>
        <w:t>合同期限：</w:t>
      </w:r>
      <w:r>
        <w:rPr>
          <w:rFonts w:hint="eastAsia" w:asciiTheme="minorEastAsia" w:hAnsiTheme="minorEastAsia" w:eastAsiaTheme="minorEastAsia" w:cstheme="minorBidi"/>
          <w:kern w:val="2"/>
          <w:sz w:val="32"/>
          <w:szCs w:val="32"/>
          <w:lang w:val="en-US" w:eastAsia="zh-CN" w:bidi="ar-SA"/>
        </w:rPr>
        <w:t>一年</w:t>
      </w:r>
    </w:p>
    <w:p>
      <w:pPr>
        <w:numPr>
          <w:ilvl w:val="0"/>
          <w:numId w:val="0"/>
        </w:numPr>
        <w:ind w:leftChars="0"/>
        <w:rPr>
          <w:rFonts w:hint="eastAsia" w:asciiTheme="minorEastAsia" w:hAnsiTheme="minorEastAsia"/>
          <w:b/>
          <w:bCs/>
          <w:sz w:val="32"/>
          <w:szCs w:val="32"/>
          <w:lang w:eastAsia="zh-CN"/>
        </w:rPr>
      </w:pPr>
      <w:r>
        <w:rPr>
          <w:rFonts w:hint="eastAsia" w:asciiTheme="minorEastAsia" w:hAnsiTheme="minorEastAsia"/>
          <w:b/>
          <w:bCs/>
          <w:sz w:val="32"/>
          <w:szCs w:val="32"/>
          <w:lang w:eastAsia="zh-CN"/>
        </w:rPr>
        <w:t>三、价格：</w:t>
      </w:r>
      <w:bookmarkStart w:id="0" w:name="_GoBack"/>
      <w:bookmarkEnd w:id="0"/>
    </w:p>
    <w:p>
      <w:pPr>
        <w:pStyle w:val="5"/>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项目预算总金额为4.86万元。报价含我校四个校区54台水泵，每台900元。</w:t>
      </w:r>
    </w:p>
    <w:p>
      <w:pPr>
        <w:rPr>
          <w:rFonts w:hint="eastAsia" w:asciiTheme="minorEastAsia" w:hAnsiTheme="minorEastAsia"/>
          <w:b/>
          <w:bCs/>
          <w:sz w:val="32"/>
          <w:szCs w:val="32"/>
          <w:lang w:val="en-US" w:eastAsia="zh-CN"/>
        </w:rPr>
      </w:pPr>
      <w:r>
        <w:rPr>
          <w:rFonts w:hint="eastAsia" w:asciiTheme="minorEastAsia" w:hAnsiTheme="minorEastAsia"/>
          <w:b/>
          <w:bCs/>
          <w:sz w:val="32"/>
          <w:szCs w:val="32"/>
          <w:lang w:eastAsia="zh-CN"/>
        </w:rPr>
        <w:t>四、付款方式</w:t>
      </w:r>
      <w:r>
        <w:rPr>
          <w:rFonts w:hint="eastAsia" w:asciiTheme="minorEastAsia" w:hAnsiTheme="minorEastAsia"/>
          <w:b/>
          <w:bCs/>
          <w:sz w:val="32"/>
          <w:szCs w:val="32"/>
          <w:lang w:val="en-US" w:eastAsia="zh-CN"/>
        </w:rPr>
        <w:t xml:space="preserve"> </w:t>
      </w:r>
    </w:p>
    <w:p>
      <w:pPr>
        <w:pStyle w:val="5"/>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w:t>
      </w:r>
      <w:r>
        <w:rPr>
          <w:rFonts w:hint="eastAsia" w:asciiTheme="minorEastAsia" w:hAnsiTheme="minorEastAsia"/>
          <w:sz w:val="32"/>
          <w:szCs w:val="32"/>
          <w:lang w:eastAsia="zh-CN"/>
        </w:rPr>
        <w:t>经甲方对水泵维保项目验收合格后，乙方开具正规发票，甲方在收到发票后</w:t>
      </w:r>
      <w:r>
        <w:rPr>
          <w:rFonts w:hint="eastAsia" w:asciiTheme="minorEastAsia" w:hAnsiTheme="minorEastAsia"/>
          <w:sz w:val="32"/>
          <w:szCs w:val="32"/>
          <w:lang w:val="en-US" w:eastAsia="zh-CN"/>
        </w:rPr>
        <w:t>15个工作日内，根据双方在本合同中确定的价格，按学校规定予以据实结算。</w:t>
      </w:r>
    </w:p>
    <w:p>
      <w:pPr>
        <w:pStyle w:val="5"/>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2、支付时间：</w:t>
      </w:r>
      <w:r>
        <w:rPr>
          <w:rFonts w:hint="eastAsia" w:asciiTheme="minorEastAsia" w:hAnsiTheme="minorEastAsia"/>
          <w:sz w:val="32"/>
          <w:szCs w:val="32"/>
          <w:lang w:eastAsia="zh-CN"/>
        </w:rPr>
        <w:t>一年支付两次、每半年支付一次。</w:t>
      </w:r>
    </w:p>
    <w:p>
      <w:pPr>
        <w:numPr>
          <w:ilvl w:val="0"/>
          <w:numId w:val="0"/>
        </w:numPr>
        <w:ind w:leftChars="0"/>
        <w:rPr>
          <w:rFonts w:hint="default" w:asciiTheme="minorEastAsia" w:hAnsiTheme="minorEastAsia" w:eastAsiaTheme="minorEastAsia" w:cstheme="minorBidi"/>
          <w:kern w:val="2"/>
          <w:sz w:val="32"/>
          <w:szCs w:val="32"/>
          <w:lang w:val="en-US" w:eastAsia="zh-CN" w:bidi="ar-SA"/>
        </w:rPr>
      </w:pPr>
      <w:r>
        <w:rPr>
          <w:rFonts w:hint="eastAsia" w:asciiTheme="minorEastAsia" w:hAnsiTheme="minorEastAsia"/>
          <w:b/>
          <w:bCs/>
          <w:sz w:val="32"/>
          <w:szCs w:val="32"/>
          <w:lang w:eastAsia="zh-CN"/>
        </w:rPr>
        <w:t>五、水泵统计：</w:t>
      </w:r>
      <w:r>
        <w:rPr>
          <w:rFonts w:hint="eastAsia" w:asciiTheme="minorEastAsia" w:hAnsiTheme="minorEastAsia" w:eastAsiaTheme="minorEastAsia" w:cstheme="minorBidi"/>
          <w:kern w:val="2"/>
          <w:sz w:val="32"/>
          <w:szCs w:val="32"/>
          <w:lang w:val="en-US" w:eastAsia="zh-CN" w:bidi="ar-SA"/>
        </w:rPr>
        <w:t>见附件</w:t>
      </w:r>
      <w:r>
        <w:rPr>
          <w:rFonts w:hint="eastAsia" w:asciiTheme="minorEastAsia" w:hAnsiTheme="minorEastAsia" w:cstheme="minorBidi"/>
          <w:kern w:val="2"/>
          <w:sz w:val="32"/>
          <w:szCs w:val="32"/>
          <w:lang w:val="en-US" w:eastAsia="zh-CN" w:bidi="ar-SA"/>
        </w:rPr>
        <w:t>1</w:t>
      </w:r>
    </w:p>
    <w:p>
      <w:pPr>
        <w:numPr>
          <w:ilvl w:val="0"/>
          <w:numId w:val="0"/>
        </w:numPr>
        <w:ind w:leftChars="0"/>
        <w:rPr>
          <w:rFonts w:hint="eastAsia" w:asciiTheme="minorEastAsia" w:hAnsiTheme="minorEastAsia"/>
          <w:b/>
          <w:bCs/>
          <w:sz w:val="32"/>
          <w:szCs w:val="32"/>
        </w:rPr>
      </w:pPr>
      <w:r>
        <w:rPr>
          <w:rFonts w:hint="eastAsia" w:asciiTheme="minorEastAsia" w:hAnsiTheme="minorEastAsia"/>
          <w:b/>
          <w:bCs/>
          <w:sz w:val="32"/>
          <w:szCs w:val="32"/>
          <w:lang w:eastAsia="zh-CN"/>
        </w:rPr>
        <w:t>六、</w:t>
      </w:r>
      <w:r>
        <w:rPr>
          <w:rFonts w:hint="eastAsia" w:asciiTheme="minorEastAsia" w:hAnsiTheme="minorEastAsia"/>
          <w:b/>
          <w:bCs/>
          <w:sz w:val="32"/>
          <w:szCs w:val="32"/>
        </w:rPr>
        <w:t>投标公司资质要求</w:t>
      </w:r>
    </w:p>
    <w:p>
      <w:pPr>
        <w:numPr>
          <w:ilvl w:val="0"/>
          <w:numId w:val="0"/>
        </w:numPr>
        <w:ind w:leftChars="0"/>
        <w:rPr>
          <w:rFonts w:hint="eastAsia" w:asciiTheme="minorEastAsia" w:hAnsiTheme="minorEastAsia" w:eastAsiaTheme="minorEastAsia"/>
          <w:b/>
          <w:bCs/>
          <w:sz w:val="32"/>
          <w:szCs w:val="32"/>
          <w:lang w:val="en-US" w:eastAsia="zh-CN"/>
        </w:rPr>
      </w:pPr>
      <w:r>
        <w:rPr>
          <w:rFonts w:hint="eastAsia" w:asciiTheme="minorEastAsia" w:hAnsiTheme="minorEastAsia"/>
          <w:b/>
          <w:bCs/>
          <w:sz w:val="32"/>
          <w:szCs w:val="32"/>
          <w:lang w:val="en-US" w:eastAsia="zh-CN"/>
        </w:rPr>
        <w:t xml:space="preserve">    </w:t>
      </w:r>
      <w:r>
        <w:rPr>
          <w:rFonts w:hint="eastAsia" w:asciiTheme="minorEastAsia" w:hAnsiTheme="minorEastAsia"/>
          <w:sz w:val="32"/>
          <w:szCs w:val="32"/>
          <w:lang w:val="en-US" w:eastAsia="zh-CN"/>
        </w:rPr>
        <w:t>1、</w:t>
      </w:r>
      <w:r>
        <w:rPr>
          <w:rFonts w:hint="eastAsia" w:asciiTheme="minorEastAsia" w:hAnsiTheme="minorEastAsia"/>
          <w:sz w:val="32"/>
          <w:szCs w:val="32"/>
        </w:rPr>
        <w:t>投标人应是在中华人民共和国境内依法经工商行政管理机关核准登记后取得独立法人资格的企业</w:t>
      </w:r>
      <w:r>
        <w:rPr>
          <w:rFonts w:hint="eastAsia" w:asciiTheme="minorEastAsia" w:hAnsiTheme="minorEastAsia"/>
          <w:sz w:val="32"/>
          <w:szCs w:val="32"/>
          <w:lang w:eastAsia="zh-CN"/>
        </w:rPr>
        <w:t>或个体工商户。</w:t>
      </w:r>
    </w:p>
    <w:p>
      <w:pPr>
        <w:numPr>
          <w:ilvl w:val="0"/>
          <w:numId w:val="0"/>
        </w:numPr>
        <w:ind w:leftChars="0" w:firstLine="640" w:firstLineChars="200"/>
        <w:rPr>
          <w:rFonts w:hint="eastAsia" w:asciiTheme="minorEastAsia" w:hAnsiTheme="minorEastAsia"/>
          <w:sz w:val="32"/>
          <w:szCs w:val="32"/>
          <w:lang w:eastAsia="zh-CN"/>
        </w:rPr>
      </w:pPr>
      <w:r>
        <w:rPr>
          <w:rFonts w:hint="eastAsia" w:asciiTheme="minorEastAsia" w:hAnsiTheme="minorEastAsia"/>
          <w:sz w:val="32"/>
          <w:szCs w:val="32"/>
          <w:lang w:val="en-US" w:eastAsia="zh-CN"/>
        </w:rPr>
        <w:t>2、</w:t>
      </w:r>
      <w:r>
        <w:rPr>
          <w:rFonts w:hint="eastAsia" w:asciiTheme="minorEastAsia" w:hAnsiTheme="minorEastAsia"/>
          <w:sz w:val="32"/>
          <w:szCs w:val="32"/>
        </w:rPr>
        <w:t>投标公司具备独立完成本项目的能力，中标后不允许分包、转包</w:t>
      </w:r>
      <w:r>
        <w:rPr>
          <w:rFonts w:hint="eastAsia" w:asciiTheme="minorEastAsia" w:hAnsiTheme="minorEastAsia"/>
          <w:sz w:val="32"/>
          <w:szCs w:val="32"/>
          <w:lang w:eastAsia="zh-CN"/>
        </w:rPr>
        <w:t>。</w:t>
      </w:r>
    </w:p>
    <w:p>
      <w:pPr>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3、具备国家有关规定的水泵维护保养资质。</w:t>
      </w:r>
    </w:p>
    <w:p>
      <w:pPr>
        <w:numPr>
          <w:ilvl w:val="0"/>
          <w:numId w:val="0"/>
        </w:numPr>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4、参加招标采购活动前三年内，在经营活动中没有重大违法记录。</w:t>
      </w:r>
    </w:p>
    <w:p>
      <w:pPr>
        <w:numPr>
          <w:ilvl w:val="0"/>
          <w:numId w:val="0"/>
        </w:numPr>
        <w:rPr>
          <w:rFonts w:hint="eastAsia" w:asciiTheme="minorEastAsia" w:hAnsiTheme="minorEastAsia"/>
          <w:b/>
          <w:bCs/>
          <w:sz w:val="32"/>
          <w:szCs w:val="32"/>
          <w:lang w:eastAsia="zh-CN"/>
        </w:rPr>
      </w:pPr>
      <w:r>
        <w:rPr>
          <w:rFonts w:hint="eastAsia" w:asciiTheme="minorEastAsia" w:hAnsiTheme="minorEastAsia"/>
          <w:b/>
          <w:bCs/>
          <w:sz w:val="32"/>
          <w:szCs w:val="32"/>
          <w:lang w:val="en-US" w:eastAsia="zh-CN"/>
        </w:rPr>
        <w:t>七、</w:t>
      </w:r>
      <w:r>
        <w:rPr>
          <w:rFonts w:hint="eastAsia" w:asciiTheme="minorEastAsia" w:hAnsiTheme="minorEastAsia"/>
          <w:b/>
          <w:bCs/>
          <w:sz w:val="32"/>
          <w:szCs w:val="32"/>
          <w:lang w:eastAsia="zh-CN"/>
        </w:rPr>
        <w:t>服务要求及责任</w:t>
      </w:r>
    </w:p>
    <w:p>
      <w:pPr>
        <w:numPr>
          <w:ilvl w:val="0"/>
          <w:numId w:val="0"/>
        </w:numPr>
        <w:ind w:firstLine="641"/>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1、乙方保证派出的施工人员必须是水泵设备维保专业技工，有丰富的水泵设备维修保养实践经验，责任心强，对学校负责，能够切实按国家相关水泵维护保养规范进行。</w:t>
      </w:r>
    </w:p>
    <w:p>
      <w:pPr>
        <w:numPr>
          <w:ilvl w:val="0"/>
          <w:numId w:val="0"/>
        </w:numPr>
        <w:ind w:firstLine="641"/>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2、对各种水泵提供一次全面的例行保养工作，其中包括对设备机件的安全及功能清洁、调整、检查及润滑油，设置、调整操作等使设备正常运行，达到原制造厂家的产品企业标准或现行有效标准。</w:t>
      </w:r>
    </w:p>
    <w:p>
      <w:pPr>
        <w:numPr>
          <w:ilvl w:val="0"/>
          <w:numId w:val="0"/>
        </w:numPr>
        <w:ind w:firstLine="641"/>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3、乙方提供零部件应为设备原制造厂出品的原厂合格配件。乙方经努力仍无法采购到原厂配件的，经校方同意，维保方可以采购其他品牌的同型号配件，应保证配件质量、性能等技术参数不低于原厂配件。</w:t>
      </w:r>
    </w:p>
    <w:p>
      <w:pPr>
        <w:numPr>
          <w:ilvl w:val="0"/>
          <w:numId w:val="0"/>
        </w:numPr>
        <w:ind w:firstLine="641"/>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4、所有检修维护设备各固定连接部位不应松动，各部件运行正常，不得有异常声响和摩擦现象，附属系统的运行正常，管道连接处应牢固无渗漏，轴承的温度应符合设备技术相关规定，润滑油不得有渗漏和雾状喷油现象。泵的安全保护和电控装置及各部分仪表显示均应灵敏、正确、可靠，机械密封的泄漏应符合设备原厂的技术规定，且温升正常。</w:t>
      </w:r>
    </w:p>
    <w:p>
      <w:pPr>
        <w:numPr>
          <w:ilvl w:val="0"/>
          <w:numId w:val="0"/>
        </w:numPr>
        <w:ind w:firstLine="641"/>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5、由乙方提供的轴承在正常运行的情况下寿命不得低于6000小时，提供的机械密封在正常运行的情况下寿命不得低于4000小时。（注：特殊设备及特殊情况除外）</w:t>
      </w:r>
    </w:p>
    <w:p>
      <w:pPr>
        <w:numPr>
          <w:ilvl w:val="0"/>
          <w:numId w:val="0"/>
        </w:numPr>
        <w:ind w:firstLine="640" w:firstLineChars="200"/>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6、每台水泵每年维修保养、加油至少两次。</w:t>
      </w:r>
    </w:p>
    <w:p>
      <w:pPr>
        <w:numPr>
          <w:ilvl w:val="0"/>
          <w:numId w:val="0"/>
        </w:numPr>
        <w:ind w:firstLine="640" w:firstLineChars="200"/>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7、每个控制柜至少检修两次。</w:t>
      </w:r>
    </w:p>
    <w:p>
      <w:pPr>
        <w:numPr>
          <w:ilvl w:val="0"/>
          <w:numId w:val="0"/>
        </w:numPr>
        <w:ind w:firstLine="640" w:firstLineChars="200"/>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8、维修材料单价500元（包括500元）以下由乙方购买，500元以上由甲方承担。乙方使用材料必须要有产品质量合格证。</w:t>
      </w:r>
    </w:p>
    <w:p>
      <w:pPr>
        <w:numPr>
          <w:ilvl w:val="0"/>
          <w:numId w:val="0"/>
        </w:numPr>
        <w:ind w:firstLine="640" w:firstLineChars="200"/>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9、乙方维修期间不能耽误甲方水泵的正常使用。</w:t>
      </w: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jc w:val="center"/>
        <w:rPr>
          <w:rFonts w:hint="eastAsia"/>
          <w:b/>
          <w:sz w:val="44"/>
          <w:szCs w:val="44"/>
        </w:rPr>
      </w:pPr>
    </w:p>
    <w:p>
      <w:pPr>
        <w:jc w:val="center"/>
        <w:rPr>
          <w:rFonts w:hint="eastAsia"/>
          <w:b/>
          <w:sz w:val="44"/>
          <w:szCs w:val="44"/>
        </w:rPr>
      </w:pPr>
    </w:p>
    <w:p>
      <w:pPr>
        <w:jc w:val="left"/>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eastAsia="zh-CN"/>
        </w:rPr>
        <w:t>附件</w:t>
      </w:r>
      <w:r>
        <w:rPr>
          <w:rFonts w:hint="eastAsia" w:ascii="宋体" w:hAnsi="宋体" w:eastAsia="宋体" w:cs="宋体"/>
          <w:b w:val="0"/>
          <w:bCs/>
          <w:sz w:val="28"/>
          <w:szCs w:val="28"/>
          <w:lang w:val="en-US" w:eastAsia="zh-CN"/>
        </w:rPr>
        <w:t>1</w:t>
      </w:r>
    </w:p>
    <w:p>
      <w:pPr>
        <w:jc w:val="center"/>
        <w:rPr>
          <w:rFonts w:hint="eastAsia" w:ascii="宋体" w:hAnsi="宋体" w:eastAsia="宋体" w:cs="宋体"/>
          <w:b w:val="0"/>
          <w:bCs w:val="0"/>
          <w:sz w:val="40"/>
          <w:szCs w:val="40"/>
          <w:lang w:val="en-US" w:eastAsia="zh-CN"/>
        </w:rPr>
      </w:pPr>
      <w:r>
        <w:rPr>
          <w:rFonts w:hint="eastAsia" w:ascii="宋体" w:hAnsi="宋体" w:eastAsia="宋体" w:cs="宋体"/>
          <w:b/>
          <w:sz w:val="40"/>
          <w:szCs w:val="40"/>
        </w:rPr>
        <w:t>乌鲁木齐职业大学水泵统计</w:t>
      </w:r>
    </w:p>
    <w:tbl>
      <w:tblPr>
        <w:tblStyle w:val="3"/>
        <w:tblW w:w="10642"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477"/>
        <w:gridCol w:w="1965"/>
        <w:gridCol w:w="885"/>
        <w:gridCol w:w="2055"/>
        <w:gridCol w:w="94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jc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1477" w:type="dxa"/>
            <w:vAlign w:val="top"/>
          </w:tcPr>
          <w:p>
            <w:pPr>
              <w:jc w:val="center"/>
              <w:rPr>
                <w:rFonts w:hint="eastAsia" w:ascii="宋体" w:hAnsi="宋体" w:eastAsia="宋体" w:cs="宋体"/>
                <w:b/>
                <w:bCs/>
                <w:sz w:val="28"/>
                <w:szCs w:val="28"/>
              </w:rPr>
            </w:pPr>
            <w:r>
              <w:rPr>
                <w:rFonts w:hint="eastAsia" w:ascii="宋体" w:hAnsi="宋体" w:eastAsia="宋体" w:cs="宋体"/>
                <w:b/>
                <w:bCs/>
                <w:sz w:val="28"/>
                <w:szCs w:val="28"/>
              </w:rPr>
              <w:t>水泵名称</w:t>
            </w:r>
          </w:p>
        </w:tc>
        <w:tc>
          <w:tcPr>
            <w:tcW w:w="1965" w:type="dxa"/>
            <w:vAlign w:val="top"/>
          </w:tcPr>
          <w:p>
            <w:pPr>
              <w:jc w:val="center"/>
              <w:rPr>
                <w:rFonts w:hint="eastAsia" w:ascii="宋体" w:hAnsi="宋体" w:eastAsia="宋体" w:cs="宋体"/>
                <w:b/>
                <w:bCs/>
                <w:sz w:val="28"/>
                <w:szCs w:val="28"/>
              </w:rPr>
            </w:pPr>
            <w:r>
              <w:rPr>
                <w:rFonts w:hint="eastAsia" w:ascii="宋体" w:hAnsi="宋体" w:eastAsia="宋体" w:cs="宋体"/>
                <w:b/>
                <w:bCs/>
                <w:sz w:val="28"/>
                <w:szCs w:val="28"/>
              </w:rPr>
              <w:t>型   号</w:t>
            </w:r>
          </w:p>
        </w:tc>
        <w:tc>
          <w:tcPr>
            <w:tcW w:w="885" w:type="dxa"/>
            <w:vAlign w:val="top"/>
          </w:tcPr>
          <w:p>
            <w:pPr>
              <w:jc w:val="center"/>
              <w:rPr>
                <w:rFonts w:hint="eastAsia" w:ascii="宋体" w:hAnsi="宋体" w:eastAsia="宋体" w:cs="宋体"/>
                <w:b/>
                <w:bCs/>
                <w:sz w:val="28"/>
                <w:szCs w:val="28"/>
              </w:rPr>
            </w:pPr>
            <w:r>
              <w:rPr>
                <w:rFonts w:hint="eastAsia" w:ascii="宋体" w:hAnsi="宋体" w:eastAsia="宋体" w:cs="宋体"/>
                <w:b/>
                <w:bCs/>
                <w:sz w:val="28"/>
                <w:szCs w:val="28"/>
              </w:rPr>
              <w:t>扬程</w:t>
            </w:r>
          </w:p>
        </w:tc>
        <w:tc>
          <w:tcPr>
            <w:tcW w:w="2055" w:type="dxa"/>
            <w:vAlign w:val="top"/>
          </w:tcPr>
          <w:p>
            <w:pPr>
              <w:jc w:val="center"/>
              <w:rPr>
                <w:rFonts w:hint="eastAsia" w:ascii="宋体" w:hAnsi="宋体" w:eastAsia="宋体" w:cs="宋体"/>
                <w:b/>
                <w:bCs/>
                <w:sz w:val="28"/>
                <w:szCs w:val="28"/>
              </w:rPr>
            </w:pPr>
            <w:r>
              <w:rPr>
                <w:rFonts w:hint="eastAsia" w:ascii="宋体" w:hAnsi="宋体" w:eastAsia="宋体" w:cs="宋体"/>
                <w:b/>
                <w:bCs/>
                <w:sz w:val="28"/>
                <w:szCs w:val="28"/>
              </w:rPr>
              <w:t>流   量</w:t>
            </w:r>
          </w:p>
        </w:tc>
        <w:tc>
          <w:tcPr>
            <w:tcW w:w="945" w:type="dxa"/>
            <w:vAlign w:val="top"/>
          </w:tcPr>
          <w:p>
            <w:pPr>
              <w:jc w:val="center"/>
              <w:rPr>
                <w:rFonts w:hint="eastAsia" w:ascii="宋体" w:hAnsi="宋体" w:eastAsia="宋体" w:cs="宋体"/>
                <w:b/>
                <w:bCs/>
                <w:sz w:val="28"/>
                <w:szCs w:val="28"/>
              </w:rPr>
            </w:pPr>
            <w:r>
              <w:rPr>
                <w:rFonts w:hint="eastAsia" w:ascii="宋体" w:hAnsi="宋体" w:eastAsia="宋体" w:cs="宋体"/>
                <w:b/>
                <w:bCs/>
                <w:sz w:val="28"/>
                <w:szCs w:val="28"/>
              </w:rPr>
              <w:t>数量</w:t>
            </w:r>
          </w:p>
        </w:tc>
        <w:tc>
          <w:tcPr>
            <w:tcW w:w="2460" w:type="dxa"/>
            <w:vAlign w:val="top"/>
          </w:tcPr>
          <w:p>
            <w:pPr>
              <w:ind w:firstLine="281" w:firstLineChars="100"/>
              <w:jc w:val="center"/>
              <w:rPr>
                <w:rFonts w:hint="eastAsia" w:ascii="宋体" w:hAnsi="宋体" w:eastAsia="宋体" w:cs="宋体"/>
                <w:b/>
                <w:bCs/>
                <w:sz w:val="28"/>
                <w:szCs w:val="28"/>
              </w:rPr>
            </w:pPr>
            <w:r>
              <w:rPr>
                <w:rFonts w:hint="eastAsia" w:ascii="宋体" w:hAnsi="宋体" w:eastAsia="宋体" w:cs="宋体"/>
                <w:b/>
                <w:bCs/>
                <w:sz w:val="28"/>
                <w:szCs w:val="28"/>
              </w:rPr>
              <w:t>用  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widowControl w:val="0"/>
              <w:numPr>
                <w:ilvl w:val="0"/>
                <w:numId w:val="0"/>
              </w:numPr>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多级离心泵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100GDL72-14×4</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56米</w:t>
            </w:r>
          </w:p>
        </w:tc>
        <w:tc>
          <w:tcPr>
            <w:tcW w:w="205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72立方米/小时</w:t>
            </w: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3台</w:t>
            </w:r>
          </w:p>
        </w:tc>
        <w:tc>
          <w:tcPr>
            <w:tcW w:w="2460"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新校二次供水加压泵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立式离心泵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SOR40-160A</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28米</w:t>
            </w:r>
          </w:p>
        </w:tc>
        <w:tc>
          <w:tcPr>
            <w:tcW w:w="205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5.9立方米/小时</w:t>
            </w: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2460"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新校蒸汽冷凝水泵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管道离心泵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IRG50-160</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32</w:t>
            </w:r>
          </w:p>
        </w:tc>
        <w:tc>
          <w:tcPr>
            <w:tcW w:w="205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12.5立方米/小时</w:t>
            </w: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2460"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新校浴室洗浴循环泵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单级喷淋泵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XBD90/50-100L-51BB</w:t>
            </w:r>
          </w:p>
        </w:tc>
        <w:tc>
          <w:tcPr>
            <w:tcW w:w="885" w:type="dxa"/>
            <w:vAlign w:val="top"/>
          </w:tcPr>
          <w:p>
            <w:pPr>
              <w:spacing w:line="360" w:lineRule="auto"/>
              <w:jc w:val="center"/>
              <w:rPr>
                <w:rFonts w:hint="eastAsia" w:ascii="宋体" w:hAnsi="宋体" w:eastAsia="宋体" w:cs="宋体"/>
                <w:b w:val="0"/>
                <w:bCs/>
                <w:sz w:val="24"/>
                <w:szCs w:val="24"/>
              </w:rPr>
            </w:pPr>
          </w:p>
        </w:tc>
        <w:tc>
          <w:tcPr>
            <w:tcW w:w="205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30立方米/小时</w:t>
            </w: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2460"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新校消防水泵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单级消防泵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XBD70/30-100L</w:t>
            </w:r>
          </w:p>
        </w:tc>
        <w:tc>
          <w:tcPr>
            <w:tcW w:w="885" w:type="dxa"/>
            <w:vAlign w:val="top"/>
          </w:tcPr>
          <w:p>
            <w:pPr>
              <w:spacing w:line="360" w:lineRule="auto"/>
              <w:jc w:val="center"/>
              <w:rPr>
                <w:rFonts w:hint="eastAsia" w:ascii="宋体" w:hAnsi="宋体" w:eastAsia="宋体" w:cs="宋体"/>
                <w:b w:val="0"/>
                <w:bCs/>
                <w:sz w:val="24"/>
                <w:szCs w:val="24"/>
              </w:rPr>
            </w:pPr>
          </w:p>
        </w:tc>
        <w:tc>
          <w:tcPr>
            <w:tcW w:w="205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30立方米/小时</w:t>
            </w: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2460"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新校消防水泵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污水污物潜水泵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50WQ/C241-1.5</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10米</w:t>
            </w:r>
          </w:p>
        </w:tc>
        <w:tc>
          <w:tcPr>
            <w:tcW w:w="205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20立方米/小时</w:t>
            </w: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2460"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新校污水污物排水泵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锅炉给水泵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JGGC2.4-144</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144米</w:t>
            </w:r>
          </w:p>
        </w:tc>
        <w:tc>
          <w:tcPr>
            <w:tcW w:w="205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2.4立方米/小时</w:t>
            </w: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8台</w:t>
            </w:r>
          </w:p>
        </w:tc>
        <w:tc>
          <w:tcPr>
            <w:tcW w:w="2460"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新校3台锅炉给水泵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离心泵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ISG100-IS0</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30米</w:t>
            </w:r>
          </w:p>
        </w:tc>
        <w:tc>
          <w:tcPr>
            <w:tcW w:w="205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75立方米/小时</w:t>
            </w: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2460"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新校供暖循环泵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立式多级不锈钢泵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CDLF4-5</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40米</w:t>
            </w:r>
          </w:p>
        </w:tc>
        <w:tc>
          <w:tcPr>
            <w:tcW w:w="205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2.3立方米/小时</w:t>
            </w: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2460"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新校供暖系统给水泵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潜水泵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220V</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12米</w:t>
            </w:r>
          </w:p>
        </w:tc>
        <w:tc>
          <w:tcPr>
            <w:tcW w:w="205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6立方米/小时</w:t>
            </w: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2460"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新校可移动潜水泵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管道泵</w:t>
            </w:r>
          </w:p>
        </w:tc>
        <w:tc>
          <w:tcPr>
            <w:tcW w:w="1965" w:type="dxa"/>
            <w:vAlign w:val="top"/>
          </w:tcPr>
          <w:p>
            <w:pPr>
              <w:spacing w:line="360" w:lineRule="auto"/>
              <w:jc w:val="center"/>
              <w:rPr>
                <w:rFonts w:hint="eastAsia" w:ascii="宋体" w:hAnsi="宋体" w:eastAsia="宋体" w:cs="宋体"/>
                <w:b w:val="0"/>
                <w:bCs/>
                <w:color w:val="000000" w:themeColor="text1"/>
                <w:sz w:val="24"/>
                <w:szCs w:val="24"/>
                <w14:textFill>
                  <w14:solidFill>
                    <w14:schemeClr w14:val="tx1"/>
                  </w14:solidFill>
                </w14:textFill>
              </w:rPr>
            </w:pPr>
          </w:p>
        </w:tc>
        <w:tc>
          <w:tcPr>
            <w:tcW w:w="885" w:type="dxa"/>
            <w:vAlign w:val="top"/>
          </w:tcPr>
          <w:p>
            <w:pPr>
              <w:spacing w:line="360" w:lineRule="auto"/>
              <w:jc w:val="center"/>
              <w:rPr>
                <w:rFonts w:hint="eastAsia" w:ascii="宋体" w:hAnsi="宋体" w:eastAsia="宋体" w:cs="宋体"/>
                <w:b w:val="0"/>
                <w:bCs/>
                <w:color w:val="000000" w:themeColor="text1"/>
                <w:sz w:val="24"/>
                <w:szCs w:val="24"/>
                <w14:textFill>
                  <w14:solidFill>
                    <w14:schemeClr w14:val="tx1"/>
                  </w14:solidFill>
                </w14:textFill>
              </w:rPr>
            </w:pPr>
          </w:p>
        </w:tc>
        <w:tc>
          <w:tcPr>
            <w:tcW w:w="2055" w:type="dxa"/>
            <w:vAlign w:val="top"/>
          </w:tcPr>
          <w:p>
            <w:pPr>
              <w:spacing w:line="360" w:lineRule="auto"/>
              <w:jc w:val="center"/>
              <w:rPr>
                <w:rFonts w:hint="eastAsia" w:ascii="宋体" w:hAnsi="宋体" w:eastAsia="宋体" w:cs="宋体"/>
                <w:b w:val="0"/>
                <w:bCs/>
                <w:color w:val="000000" w:themeColor="text1"/>
                <w:sz w:val="24"/>
                <w:szCs w:val="24"/>
                <w14:textFill>
                  <w14:solidFill>
                    <w14:schemeClr w14:val="tx1"/>
                  </w14:solidFill>
                </w14:textFill>
              </w:rPr>
            </w:pPr>
          </w:p>
        </w:tc>
        <w:tc>
          <w:tcPr>
            <w:tcW w:w="945" w:type="dxa"/>
            <w:vAlign w:val="top"/>
          </w:tcPr>
          <w:p>
            <w:pPr>
              <w:spacing w:line="360" w:lineRule="auto"/>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2台</w:t>
            </w:r>
          </w:p>
        </w:tc>
        <w:tc>
          <w:tcPr>
            <w:tcW w:w="2460" w:type="dxa"/>
            <w:vAlign w:val="top"/>
          </w:tcPr>
          <w:p>
            <w:pPr>
              <w:spacing w:line="360" w:lineRule="auto"/>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新校大门口地下室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1#楼二次供水水泵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Y112M-2</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4KW</w:t>
            </w:r>
          </w:p>
        </w:tc>
        <w:tc>
          <w:tcPr>
            <w:tcW w:w="2055" w:type="dxa"/>
            <w:vAlign w:val="top"/>
          </w:tcPr>
          <w:p>
            <w:pPr>
              <w:spacing w:line="360" w:lineRule="auto"/>
              <w:jc w:val="center"/>
              <w:rPr>
                <w:rFonts w:hint="eastAsia" w:ascii="宋体" w:hAnsi="宋体" w:eastAsia="宋体" w:cs="宋体"/>
                <w:b w:val="0"/>
                <w:bCs/>
                <w:sz w:val="24"/>
                <w:szCs w:val="24"/>
              </w:rPr>
            </w:pP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color w:val="000000" w:themeColor="text1"/>
                <w:sz w:val="24"/>
                <w:szCs w:val="24"/>
                <w14:textFill>
                  <w14:solidFill>
                    <w14:schemeClr w14:val="tx1"/>
                  </w14:solidFill>
                </w14:textFill>
              </w:rPr>
              <w:t>台</w:t>
            </w:r>
          </w:p>
        </w:tc>
        <w:tc>
          <w:tcPr>
            <w:tcW w:w="2460" w:type="dxa"/>
            <w:vAlign w:val="top"/>
          </w:tcPr>
          <w:p>
            <w:pPr>
              <w:spacing w:line="360" w:lineRule="auto"/>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5#楼暖气循环泵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Y2-160M-2</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15KW</w:t>
            </w:r>
          </w:p>
        </w:tc>
        <w:tc>
          <w:tcPr>
            <w:tcW w:w="2055" w:type="dxa"/>
            <w:vAlign w:val="top"/>
          </w:tcPr>
          <w:p>
            <w:pPr>
              <w:spacing w:line="360" w:lineRule="auto"/>
              <w:jc w:val="center"/>
              <w:rPr>
                <w:rFonts w:hint="eastAsia" w:ascii="宋体" w:hAnsi="宋体" w:eastAsia="宋体" w:cs="宋体"/>
                <w:b w:val="0"/>
                <w:bCs/>
                <w:sz w:val="24"/>
                <w:szCs w:val="24"/>
              </w:rPr>
            </w:pP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color w:val="000000" w:themeColor="text1"/>
                <w:sz w:val="24"/>
                <w:szCs w:val="24"/>
                <w14:textFill>
                  <w14:solidFill>
                    <w14:schemeClr w14:val="tx1"/>
                  </w14:solidFill>
                </w14:textFill>
              </w:rPr>
              <w:t>台</w:t>
            </w:r>
          </w:p>
        </w:tc>
        <w:tc>
          <w:tcPr>
            <w:tcW w:w="2460" w:type="dxa"/>
            <w:vAlign w:val="top"/>
          </w:tcPr>
          <w:p>
            <w:pPr>
              <w:spacing w:line="360" w:lineRule="auto"/>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5#楼暖气补水泵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YE2-132S-2</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7.5KW</w:t>
            </w:r>
          </w:p>
        </w:tc>
        <w:tc>
          <w:tcPr>
            <w:tcW w:w="2055" w:type="dxa"/>
            <w:vAlign w:val="top"/>
          </w:tcPr>
          <w:p>
            <w:pPr>
              <w:spacing w:line="360" w:lineRule="auto"/>
              <w:jc w:val="center"/>
              <w:rPr>
                <w:rFonts w:hint="eastAsia" w:ascii="宋体" w:hAnsi="宋体" w:eastAsia="宋体" w:cs="宋体"/>
                <w:b w:val="0"/>
                <w:bCs/>
                <w:sz w:val="24"/>
                <w:szCs w:val="24"/>
              </w:rPr>
            </w:pP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color w:val="000000" w:themeColor="text1"/>
                <w:sz w:val="24"/>
                <w:szCs w:val="24"/>
                <w14:textFill>
                  <w14:solidFill>
                    <w14:schemeClr w14:val="tx1"/>
                  </w14:solidFill>
                </w14:textFill>
              </w:rPr>
              <w:t>台</w:t>
            </w:r>
          </w:p>
        </w:tc>
        <w:tc>
          <w:tcPr>
            <w:tcW w:w="2460" w:type="dxa"/>
            <w:vAlign w:val="top"/>
          </w:tcPr>
          <w:p>
            <w:pPr>
              <w:spacing w:line="360" w:lineRule="auto"/>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5#楼暖气循环泵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YE2-132S-2</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7.5KW</w:t>
            </w:r>
          </w:p>
        </w:tc>
        <w:tc>
          <w:tcPr>
            <w:tcW w:w="2055" w:type="dxa"/>
            <w:vAlign w:val="top"/>
          </w:tcPr>
          <w:p>
            <w:pPr>
              <w:spacing w:line="360" w:lineRule="auto"/>
              <w:jc w:val="center"/>
              <w:rPr>
                <w:rFonts w:hint="eastAsia" w:ascii="宋体" w:hAnsi="宋体" w:eastAsia="宋体" w:cs="宋体"/>
                <w:b w:val="0"/>
                <w:bCs/>
                <w:sz w:val="24"/>
                <w:szCs w:val="24"/>
              </w:rPr>
            </w:pP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color w:val="000000" w:themeColor="text1"/>
                <w:sz w:val="24"/>
                <w:szCs w:val="24"/>
                <w14:textFill>
                  <w14:solidFill>
                    <w14:schemeClr w14:val="tx1"/>
                  </w14:solidFill>
                </w14:textFill>
              </w:rPr>
              <w:t>台</w:t>
            </w:r>
          </w:p>
        </w:tc>
        <w:tc>
          <w:tcPr>
            <w:tcW w:w="2460" w:type="dxa"/>
            <w:vAlign w:val="top"/>
          </w:tcPr>
          <w:p>
            <w:pPr>
              <w:spacing w:line="360" w:lineRule="auto"/>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5#楼暖气补水泵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YVF2-90L-2</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2.2KW</w:t>
            </w:r>
          </w:p>
        </w:tc>
        <w:tc>
          <w:tcPr>
            <w:tcW w:w="2055" w:type="dxa"/>
            <w:vAlign w:val="top"/>
          </w:tcPr>
          <w:p>
            <w:pPr>
              <w:spacing w:line="360" w:lineRule="auto"/>
              <w:jc w:val="center"/>
              <w:rPr>
                <w:rFonts w:hint="eastAsia" w:ascii="宋体" w:hAnsi="宋体" w:eastAsia="宋体" w:cs="宋体"/>
                <w:b w:val="0"/>
                <w:bCs/>
                <w:sz w:val="24"/>
                <w:szCs w:val="24"/>
              </w:rPr>
            </w:pP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color w:val="000000" w:themeColor="text1"/>
                <w:sz w:val="24"/>
                <w:szCs w:val="24"/>
                <w14:textFill>
                  <w14:solidFill>
                    <w14:schemeClr w14:val="tx1"/>
                  </w14:solidFill>
                </w14:textFill>
              </w:rPr>
              <w:t>台</w:t>
            </w:r>
          </w:p>
        </w:tc>
        <w:tc>
          <w:tcPr>
            <w:tcW w:w="2460" w:type="dxa"/>
            <w:vAlign w:val="top"/>
          </w:tcPr>
          <w:p>
            <w:pPr>
              <w:spacing w:line="360" w:lineRule="auto"/>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5#楼二次供水水泵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YE2-112M-2</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4KW</w:t>
            </w:r>
          </w:p>
        </w:tc>
        <w:tc>
          <w:tcPr>
            <w:tcW w:w="2055" w:type="dxa"/>
            <w:vAlign w:val="top"/>
          </w:tcPr>
          <w:p>
            <w:pPr>
              <w:spacing w:line="360" w:lineRule="auto"/>
              <w:jc w:val="center"/>
              <w:rPr>
                <w:rFonts w:hint="eastAsia" w:ascii="宋体" w:hAnsi="宋体" w:eastAsia="宋体" w:cs="宋体"/>
                <w:b w:val="0"/>
                <w:bCs/>
                <w:sz w:val="24"/>
                <w:szCs w:val="24"/>
              </w:rPr>
            </w:pP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3</w:t>
            </w:r>
            <w:r>
              <w:rPr>
                <w:rFonts w:hint="eastAsia" w:ascii="宋体" w:hAnsi="宋体" w:eastAsia="宋体" w:cs="宋体"/>
                <w:b w:val="0"/>
                <w:bCs/>
                <w:color w:val="000000" w:themeColor="text1"/>
                <w:sz w:val="24"/>
                <w:szCs w:val="24"/>
                <w14:textFill>
                  <w14:solidFill>
                    <w14:schemeClr w14:val="tx1"/>
                  </w14:solidFill>
                </w14:textFill>
              </w:rPr>
              <w:t>台</w:t>
            </w:r>
          </w:p>
        </w:tc>
        <w:tc>
          <w:tcPr>
            <w:tcW w:w="2460" w:type="dxa"/>
            <w:vAlign w:val="top"/>
          </w:tcPr>
          <w:p>
            <w:pPr>
              <w:spacing w:line="360" w:lineRule="auto"/>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小高层二次供水水泵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YE2-132S1-2</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5.5KW</w:t>
            </w:r>
          </w:p>
        </w:tc>
        <w:tc>
          <w:tcPr>
            <w:tcW w:w="2055" w:type="dxa"/>
            <w:vAlign w:val="top"/>
          </w:tcPr>
          <w:p>
            <w:pPr>
              <w:spacing w:line="360" w:lineRule="auto"/>
              <w:jc w:val="center"/>
              <w:rPr>
                <w:rFonts w:hint="eastAsia" w:ascii="宋体" w:hAnsi="宋体" w:eastAsia="宋体" w:cs="宋体"/>
                <w:b w:val="0"/>
                <w:bCs/>
                <w:sz w:val="24"/>
                <w:szCs w:val="24"/>
              </w:rPr>
            </w:pP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color w:val="000000" w:themeColor="text1"/>
                <w:sz w:val="24"/>
                <w:szCs w:val="24"/>
                <w14:textFill>
                  <w14:solidFill>
                    <w14:schemeClr w14:val="tx1"/>
                  </w14:solidFill>
                </w14:textFill>
              </w:rPr>
              <w:t>台</w:t>
            </w:r>
          </w:p>
        </w:tc>
        <w:tc>
          <w:tcPr>
            <w:tcW w:w="2460" w:type="dxa"/>
            <w:vAlign w:val="top"/>
          </w:tcPr>
          <w:p>
            <w:pPr>
              <w:spacing w:line="360" w:lineRule="auto"/>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4#楼二次供水水泵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YE2-132S1-2</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5.5KW</w:t>
            </w:r>
          </w:p>
        </w:tc>
        <w:tc>
          <w:tcPr>
            <w:tcW w:w="2055" w:type="dxa"/>
            <w:vAlign w:val="top"/>
          </w:tcPr>
          <w:p>
            <w:pPr>
              <w:spacing w:line="360" w:lineRule="auto"/>
              <w:jc w:val="center"/>
              <w:rPr>
                <w:rFonts w:hint="eastAsia" w:ascii="宋体" w:hAnsi="宋体" w:eastAsia="宋体" w:cs="宋体"/>
                <w:b w:val="0"/>
                <w:bCs/>
                <w:sz w:val="24"/>
                <w:szCs w:val="24"/>
              </w:rPr>
            </w:pP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3</w:t>
            </w:r>
            <w:r>
              <w:rPr>
                <w:rFonts w:hint="eastAsia" w:ascii="宋体" w:hAnsi="宋体" w:eastAsia="宋体" w:cs="宋体"/>
                <w:b w:val="0"/>
                <w:bCs/>
                <w:color w:val="000000" w:themeColor="text1"/>
                <w:sz w:val="24"/>
                <w:szCs w:val="24"/>
                <w14:textFill>
                  <w14:solidFill>
                    <w14:schemeClr w14:val="tx1"/>
                  </w14:solidFill>
                </w14:textFill>
              </w:rPr>
              <w:t>台</w:t>
            </w:r>
          </w:p>
        </w:tc>
        <w:tc>
          <w:tcPr>
            <w:tcW w:w="2460" w:type="dxa"/>
            <w:vAlign w:val="top"/>
          </w:tcPr>
          <w:p>
            <w:pPr>
              <w:spacing w:line="360" w:lineRule="auto"/>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交流二次供水水泵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Y132SI-2</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15KW</w:t>
            </w:r>
          </w:p>
        </w:tc>
        <w:tc>
          <w:tcPr>
            <w:tcW w:w="2055" w:type="dxa"/>
            <w:vAlign w:val="top"/>
          </w:tcPr>
          <w:p>
            <w:pPr>
              <w:spacing w:line="360" w:lineRule="auto"/>
              <w:jc w:val="center"/>
              <w:rPr>
                <w:rFonts w:hint="eastAsia" w:ascii="宋体" w:hAnsi="宋体" w:eastAsia="宋体" w:cs="宋体"/>
                <w:b w:val="0"/>
                <w:bCs/>
                <w:sz w:val="24"/>
                <w:szCs w:val="24"/>
              </w:rPr>
            </w:pP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3</w:t>
            </w:r>
            <w:r>
              <w:rPr>
                <w:rFonts w:hint="eastAsia" w:ascii="宋体" w:hAnsi="宋体" w:eastAsia="宋体" w:cs="宋体"/>
                <w:b w:val="0"/>
                <w:bCs/>
                <w:color w:val="000000" w:themeColor="text1"/>
                <w:sz w:val="24"/>
                <w:szCs w:val="24"/>
                <w14:textFill>
                  <w14:solidFill>
                    <w14:schemeClr w14:val="tx1"/>
                  </w14:solidFill>
                </w14:textFill>
              </w:rPr>
              <w:t>台</w:t>
            </w:r>
          </w:p>
        </w:tc>
        <w:tc>
          <w:tcPr>
            <w:tcW w:w="2460" w:type="dxa"/>
            <w:vAlign w:val="top"/>
          </w:tcPr>
          <w:p>
            <w:pPr>
              <w:spacing w:line="360" w:lineRule="auto"/>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8#楼二次供水水泵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Y132-4</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7.5KW</w:t>
            </w:r>
          </w:p>
        </w:tc>
        <w:tc>
          <w:tcPr>
            <w:tcW w:w="2055" w:type="dxa"/>
            <w:vAlign w:val="top"/>
          </w:tcPr>
          <w:p>
            <w:pPr>
              <w:spacing w:line="360" w:lineRule="auto"/>
              <w:jc w:val="center"/>
              <w:rPr>
                <w:rFonts w:hint="eastAsia" w:ascii="宋体" w:hAnsi="宋体" w:eastAsia="宋体" w:cs="宋体"/>
                <w:b w:val="0"/>
                <w:bCs/>
                <w:sz w:val="24"/>
                <w:szCs w:val="24"/>
              </w:rPr>
            </w:pP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color w:val="000000" w:themeColor="text1"/>
                <w:sz w:val="24"/>
                <w:szCs w:val="24"/>
                <w14:textFill>
                  <w14:solidFill>
                    <w14:schemeClr w14:val="tx1"/>
                  </w14:solidFill>
                </w14:textFill>
              </w:rPr>
              <w:t>台</w:t>
            </w:r>
          </w:p>
        </w:tc>
        <w:tc>
          <w:tcPr>
            <w:tcW w:w="2460" w:type="dxa"/>
            <w:vAlign w:val="top"/>
          </w:tcPr>
          <w:p>
            <w:pPr>
              <w:spacing w:line="360" w:lineRule="auto"/>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8#二次供水水泵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DM-132S2-2</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7.5KW</w:t>
            </w:r>
          </w:p>
        </w:tc>
        <w:tc>
          <w:tcPr>
            <w:tcW w:w="2055" w:type="dxa"/>
            <w:vAlign w:val="top"/>
          </w:tcPr>
          <w:p>
            <w:pPr>
              <w:spacing w:line="360" w:lineRule="auto"/>
              <w:jc w:val="center"/>
              <w:rPr>
                <w:rFonts w:hint="eastAsia" w:ascii="宋体" w:hAnsi="宋体" w:eastAsia="宋体" w:cs="宋体"/>
                <w:b w:val="0"/>
                <w:bCs/>
                <w:sz w:val="24"/>
                <w:szCs w:val="24"/>
              </w:rPr>
            </w:pP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color w:val="000000" w:themeColor="text1"/>
                <w:sz w:val="24"/>
                <w:szCs w:val="24"/>
                <w14:textFill>
                  <w14:solidFill>
                    <w14:schemeClr w14:val="tx1"/>
                  </w14:solidFill>
                </w14:textFill>
              </w:rPr>
              <w:t>台</w:t>
            </w:r>
          </w:p>
        </w:tc>
        <w:tc>
          <w:tcPr>
            <w:tcW w:w="2460" w:type="dxa"/>
            <w:vAlign w:val="top"/>
          </w:tcPr>
          <w:p>
            <w:pPr>
              <w:spacing w:line="360" w:lineRule="auto"/>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行政楼二次供水水泵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Y100L-2</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3KW</w:t>
            </w:r>
          </w:p>
        </w:tc>
        <w:tc>
          <w:tcPr>
            <w:tcW w:w="2055" w:type="dxa"/>
            <w:vAlign w:val="top"/>
          </w:tcPr>
          <w:p>
            <w:pPr>
              <w:spacing w:line="360" w:lineRule="auto"/>
              <w:jc w:val="center"/>
              <w:rPr>
                <w:rFonts w:hint="eastAsia" w:ascii="宋体" w:hAnsi="宋体" w:eastAsia="宋体" w:cs="宋体"/>
                <w:b w:val="0"/>
                <w:bCs/>
                <w:sz w:val="24"/>
                <w:szCs w:val="24"/>
              </w:rPr>
            </w:pP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color w:val="000000" w:themeColor="text1"/>
                <w:sz w:val="24"/>
                <w:szCs w:val="24"/>
                <w14:textFill>
                  <w14:solidFill>
                    <w14:schemeClr w14:val="tx1"/>
                  </w14:solidFill>
                </w14:textFill>
              </w:rPr>
              <w:t>台</w:t>
            </w:r>
          </w:p>
        </w:tc>
        <w:tc>
          <w:tcPr>
            <w:tcW w:w="2460" w:type="dxa"/>
            <w:vAlign w:val="top"/>
          </w:tcPr>
          <w:p>
            <w:pPr>
              <w:spacing w:line="360" w:lineRule="auto"/>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pStyle w:val="5"/>
              <w:numPr>
                <w:ilvl w:val="0"/>
                <w:numId w:val="3"/>
              </w:numPr>
              <w:ind w:firstLineChars="0"/>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西校二次供水水泵</w:t>
            </w:r>
          </w:p>
        </w:tc>
        <w:tc>
          <w:tcPr>
            <w:tcW w:w="196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Y112M-2</w:t>
            </w:r>
          </w:p>
        </w:tc>
        <w:tc>
          <w:tcPr>
            <w:tcW w:w="88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4KW</w:t>
            </w:r>
          </w:p>
        </w:tc>
        <w:tc>
          <w:tcPr>
            <w:tcW w:w="2055" w:type="dxa"/>
            <w:vAlign w:val="top"/>
          </w:tcPr>
          <w:p>
            <w:pPr>
              <w:spacing w:line="360" w:lineRule="auto"/>
              <w:jc w:val="center"/>
              <w:rPr>
                <w:rFonts w:hint="eastAsia" w:ascii="宋体" w:hAnsi="宋体" w:eastAsia="宋体" w:cs="宋体"/>
                <w:b w:val="0"/>
                <w:bCs/>
                <w:sz w:val="24"/>
                <w:szCs w:val="24"/>
              </w:rPr>
            </w:pP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color w:val="000000" w:themeColor="text1"/>
                <w:sz w:val="24"/>
                <w:szCs w:val="24"/>
                <w14:textFill>
                  <w14:solidFill>
                    <w14:schemeClr w14:val="tx1"/>
                  </w14:solidFill>
                </w14:textFill>
              </w:rPr>
              <w:t>台</w:t>
            </w:r>
          </w:p>
        </w:tc>
        <w:tc>
          <w:tcPr>
            <w:tcW w:w="2460" w:type="dxa"/>
            <w:vAlign w:val="top"/>
          </w:tcPr>
          <w:p>
            <w:pPr>
              <w:spacing w:line="360" w:lineRule="auto"/>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top"/>
          </w:tcPr>
          <w:p>
            <w:pPr>
              <w:jc w:val="center"/>
              <w:rPr>
                <w:rFonts w:hint="eastAsia" w:ascii="宋体" w:hAnsi="宋体" w:eastAsia="宋体" w:cs="宋体"/>
                <w:sz w:val="24"/>
                <w:szCs w:val="24"/>
              </w:rPr>
            </w:pPr>
          </w:p>
        </w:tc>
        <w:tc>
          <w:tcPr>
            <w:tcW w:w="1477" w:type="dxa"/>
            <w:vAlign w:val="top"/>
          </w:tcPr>
          <w:p>
            <w:pPr>
              <w:spacing w:line="360" w:lineRule="auto"/>
              <w:jc w:val="center"/>
              <w:rPr>
                <w:rFonts w:hint="eastAsia" w:ascii="宋体" w:hAnsi="宋体" w:eastAsia="宋体" w:cs="宋体"/>
                <w:b w:val="0"/>
                <w:bCs/>
                <w:sz w:val="24"/>
                <w:szCs w:val="24"/>
              </w:rPr>
            </w:pPr>
          </w:p>
        </w:tc>
        <w:tc>
          <w:tcPr>
            <w:tcW w:w="1965" w:type="dxa"/>
            <w:vAlign w:val="top"/>
          </w:tcPr>
          <w:p>
            <w:pPr>
              <w:spacing w:line="360" w:lineRule="auto"/>
              <w:jc w:val="center"/>
              <w:rPr>
                <w:rFonts w:hint="eastAsia" w:ascii="宋体" w:hAnsi="宋体" w:eastAsia="宋体" w:cs="宋体"/>
                <w:b w:val="0"/>
                <w:bCs/>
                <w:sz w:val="24"/>
                <w:szCs w:val="24"/>
              </w:rPr>
            </w:pPr>
          </w:p>
        </w:tc>
        <w:tc>
          <w:tcPr>
            <w:tcW w:w="885" w:type="dxa"/>
            <w:vAlign w:val="top"/>
          </w:tcPr>
          <w:p>
            <w:pPr>
              <w:spacing w:line="360" w:lineRule="auto"/>
              <w:jc w:val="center"/>
              <w:rPr>
                <w:rFonts w:hint="eastAsia" w:ascii="宋体" w:hAnsi="宋体" w:eastAsia="宋体" w:cs="宋体"/>
                <w:b w:val="0"/>
                <w:bCs/>
                <w:sz w:val="24"/>
                <w:szCs w:val="24"/>
              </w:rPr>
            </w:pPr>
          </w:p>
        </w:tc>
        <w:tc>
          <w:tcPr>
            <w:tcW w:w="205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合计</w:t>
            </w:r>
          </w:p>
        </w:tc>
        <w:tc>
          <w:tcPr>
            <w:tcW w:w="945" w:type="dxa"/>
            <w:vAlign w:val="top"/>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54台</w:t>
            </w:r>
          </w:p>
        </w:tc>
        <w:tc>
          <w:tcPr>
            <w:tcW w:w="2460" w:type="dxa"/>
            <w:vAlign w:val="top"/>
          </w:tcPr>
          <w:p>
            <w:pPr>
              <w:spacing w:line="360" w:lineRule="auto"/>
              <w:jc w:val="center"/>
              <w:rPr>
                <w:rFonts w:hint="eastAsia" w:ascii="宋体" w:hAnsi="宋体" w:eastAsia="宋体" w:cs="宋体"/>
                <w:b w:val="0"/>
                <w:bCs/>
                <w:sz w:val="24"/>
                <w:szCs w:val="24"/>
              </w:rPr>
            </w:pPr>
          </w:p>
        </w:tc>
      </w:tr>
    </w:tbl>
    <w:p>
      <w:pPr>
        <w:numPr>
          <w:ilvl w:val="0"/>
          <w:numId w:val="0"/>
        </w:numPr>
        <w:ind w:firstLine="480" w:firstLineChars="200"/>
        <w:rPr>
          <w:rFonts w:hint="eastAsia" w:ascii="宋体" w:hAnsi="宋体" w:eastAsia="宋体" w:cs="宋体"/>
          <w:b w:val="0"/>
          <w:bCs w:val="0"/>
          <w:sz w:val="24"/>
          <w:szCs w:val="24"/>
          <w:lang w:val="en-US" w:eastAsia="zh-CN"/>
        </w:rPr>
      </w:pPr>
    </w:p>
    <w:p>
      <w:pPr>
        <w:numPr>
          <w:ilvl w:val="0"/>
          <w:numId w:val="0"/>
        </w:numPr>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3E1AA"/>
    <w:multiLevelType w:val="singleLevel"/>
    <w:tmpl w:val="C583E1AA"/>
    <w:lvl w:ilvl="0" w:tentative="0">
      <w:start w:val="1"/>
      <w:numFmt w:val="decimal"/>
      <w:suff w:val="nothing"/>
      <w:lvlText w:val="%1、"/>
      <w:lvlJc w:val="left"/>
    </w:lvl>
  </w:abstractNum>
  <w:abstractNum w:abstractNumId="1">
    <w:nsid w:val="1C800DB3"/>
    <w:multiLevelType w:val="singleLevel"/>
    <w:tmpl w:val="1C800DB3"/>
    <w:lvl w:ilvl="0" w:tentative="0">
      <w:start w:val="1"/>
      <w:numFmt w:val="chineseCounting"/>
      <w:suff w:val="nothing"/>
      <w:lvlText w:val="%1、"/>
      <w:lvlJc w:val="left"/>
      <w:rPr>
        <w:rFonts w:hint="eastAsia"/>
      </w:rPr>
    </w:lvl>
  </w:abstractNum>
  <w:abstractNum w:abstractNumId="2">
    <w:nsid w:val="63A155CB"/>
    <w:multiLevelType w:val="multilevel"/>
    <w:tmpl w:val="63A155C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75D70"/>
    <w:rsid w:val="0FF50C30"/>
    <w:rsid w:val="53B75D70"/>
    <w:rsid w:val="634409BD"/>
    <w:rsid w:val="6C554A03"/>
    <w:rsid w:val="786A5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2019-06-11T11:27:00Z</dcterms:created>
  <dc:creator>∞</dc:creator>
  <cp:lastModifiedBy>∞</cp:lastModifiedBy>
  <cp:lastPrinted>2019-06-11T11:31:00Z</cp:lastPrinted>
  <dcterms:modified xsi:type="dcterms:W3CDTF">2019-06-11T11:59:10Z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2052-11.1.0.8796</vt:lpwstr>
  </property>
</Properties>
</file>